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E16A12" w:rsidRPr="0079281B" w:rsidP="007C588E" w14:paraId="32105D26" w14:textId="2CDE059E">
      <w:pPr>
        <w:spacing w:after="0"/>
        <w:ind w:right="180"/>
      </w:pPr>
      <w:r w:rsidR="00403BAA">
        <w:rPr>
          <w:rStyle w:val="TitleChar"/>
          <w:rFonts w:eastAsia="Calibri"/>
        </w:rPr>
        <w:drawing>
          <wp:anchor simplePos="0" relativeHeight="251658240" behindDoc="0" locked="1" layoutInCell="1" allowOverlap="1">
            <wp:simplePos x="0" y="0"/>
            <wp:positionH relativeFrom="margin">
              <wp:posOffset>4445000</wp:posOffset>
            </wp:positionH>
            <wp:positionV relativeFrom="margin">
              <wp:posOffset>5397500</wp:posOffset>
            </wp:positionV>
            <wp:extent cx="1645923" cy="1120142"/>
            <wp:wrapNone/>
            <wp:docPr id="100014" name="" descr="Brok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5"/>
                    <a:stretch>
                      <a:fillRect/>
                    </a:stretch>
                  </pic:blipFill>
                  <pic:spPr>
                    <a:xfrm>
                      <a:off x="0" y="0"/>
                      <a:ext cx="1645923" cy="1120142"/>
                    </a:xfrm>
                    <a:prstGeom prst="rect">
                      <a:avLst/>
                    </a:prstGeom>
                  </pic:spPr>
                </pic:pic>
              </a:graphicData>
            </a:graphic>
          </wp:anchor>
        </w:drawing>
      </w:r>
      <w:r w:rsidRPr="00421CD2">
        <w:rPr>
          <w:noProof/>
          <w:color w:val="FF0000"/>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topMargin">
                  <wp:align>bottom</wp:align>
                </wp:positionV>
                <wp:extent cx="5943600" cy="409575"/>
                <wp:effectExtent l="0" t="0" r="0" b="9525"/>
                <wp:wrapNone/>
                <wp:docPr id="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9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C588E" w:rsidRPr="00926090" w:rsidP="007F6CA5" w14:textId="77777777">
                            <w:pPr>
                              <w:spacing w:after="0"/>
                              <w:jc w:val="center"/>
                              <w:rPr>
                                <w:rFonts w:asciiTheme="majorHAnsi" w:hAnsiTheme="majorHAnsi" w:cstheme="majorHAnsi"/>
                                <w:szCs w:val="20"/>
                              </w:rPr>
                            </w:pPr>
                            <w:r w:rsidRPr="00926090">
                              <w:rPr>
                                <w:rFonts w:asciiTheme="majorHAnsi" w:hAnsiTheme="majorHAnsi" w:cstheme="majorHAnsi"/>
                                <w:szCs w:val="20"/>
                              </w:rPr>
                              <w:t>Brought to you by the insurance professionals at</w:t>
                            </w:r>
                          </w:p>
                          <w:p w:rsidR="005A3634" w:rsidRPr="00926090" w:rsidP="007F6CA5" w14:textId="77777777">
                            <w:pPr>
                              <w:spacing w:after="0"/>
                              <w:jc w:val="center"/>
                              <w:rPr>
                                <w:rFonts w:asciiTheme="majorHAnsi" w:hAnsiTheme="majorHAnsi" w:cstheme="majorHAnsi"/>
                                <w:b/>
                                <w:szCs w:val="20"/>
                              </w:rPr>
                            </w:pPr>
                            <w:r w:rsidRPr="00926090">
                              <w:rPr>
                                <w:rFonts w:asciiTheme="majorHAnsi" w:hAnsiTheme="majorHAnsi" w:cstheme="majorHAnsi"/>
                                <w:b/>
                                <w:szCs w:val="20"/>
                              </w:rPr>
                              <w:t>Wheeler &amp; Taylor Insurance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5" type="#_x0000_t202" style="width:468pt;height:32.25pt;margin-top:0;margin-left:0;mso-height-percent:0;mso-height-relative:page;mso-position-horizontal:left;mso-position-horizontal-relative:margin;mso-position-vertical:bottom;mso-position-vertical-relative:top-margin-area;mso-width-percent:0;mso-width-relative:page;mso-wrap-distance-bottom:0;mso-wrap-distance-left:9pt;mso-wrap-distance-right:9pt;mso-wrap-distance-top:0;position:absolute;v-text-anchor:top;z-index:251659264" filled="f" fillcolor="this" stroked="f">
                <v:textbox inset="0,0,0,0">
                  <w:txbxContent>
                    <w:p w:rsidR="007C588E" w:rsidRPr="00926090" w:rsidP="007F6CA5" w14:paraId="15AE13DE" w14:textId="77777777">
                      <w:pPr>
                        <w:spacing w:after="0"/>
                        <w:jc w:val="center"/>
                        <w:rPr>
                          <w:rFonts w:asciiTheme="majorHAnsi" w:hAnsiTheme="majorHAnsi" w:cstheme="majorHAnsi"/>
                          <w:szCs w:val="20"/>
                        </w:rPr>
                      </w:pPr>
                      <w:r w:rsidRPr="00926090">
                        <w:rPr>
                          <w:rFonts w:asciiTheme="majorHAnsi" w:hAnsiTheme="majorHAnsi" w:cstheme="majorHAnsi"/>
                          <w:szCs w:val="20"/>
                        </w:rPr>
                        <w:t>Brought to you by the insurance professionals at</w:t>
                      </w:r>
                    </w:p>
                    <w:p w:rsidR="005A3634" w:rsidRPr="00926090" w:rsidP="007F6CA5" w14:paraId="523CD828" w14:textId="77777777">
                      <w:pPr>
                        <w:spacing w:after="0"/>
                        <w:jc w:val="center"/>
                        <w:rPr>
                          <w:rFonts w:asciiTheme="majorHAnsi" w:hAnsiTheme="majorHAnsi" w:cstheme="majorHAnsi"/>
                          <w:b/>
                          <w:szCs w:val="20"/>
                        </w:rPr>
                      </w:pPr>
                      <w:r w:rsidRPr="00926090">
                        <w:rPr>
                          <w:rFonts w:asciiTheme="majorHAnsi" w:hAnsiTheme="majorHAnsi" w:cstheme="majorHAnsi"/>
                          <w:b/>
                          <w:szCs w:val="20"/>
                        </w:rPr>
                        <w:t>Wheeler &amp; Taylor Insurance</w:t>
                      </w:r>
                    </w:p>
                  </w:txbxContent>
                </v:textbox>
                <w10:wrap anchorx="margin"/>
              </v:shape>
            </w:pict>
          </mc:Fallback>
        </mc:AlternateContent>
      </w:r>
      <w:r w:rsidR="00403BAA">
        <w:rPr>
          <w:rStyle w:val="TitleChar"/>
          <w:rFonts w:eastAsia="Calibri"/>
        </w:rPr>
        <w:t>5 Employment Policies to Review in 202</w:t>
      </w:r>
      <w:r w:rsidR="00F62668">
        <w:rPr>
          <w:rStyle w:val="TitleChar"/>
          <w:rFonts w:eastAsia="Calibri"/>
        </w:rPr>
        <w:t>4</w:t>
      </w:r>
    </w:p>
    <w:p w:rsidR="00850178" w:rsidP="00850178" w14:paraId="6D0403D5" w14:textId="354D4FFE">
      <w:pPr>
        <w:pStyle w:val="body"/>
      </w:pPr>
      <w:r>
        <w:t xml:space="preserve">Employee handbooks are important tools for establishing employee expectations, addressing workplace </w:t>
      </w:r>
      <w:r>
        <w:t>issues</w:t>
      </w:r>
      <w:r>
        <w:t xml:space="preserve"> and defending against potential lawsuits. Failing to update </w:t>
      </w:r>
      <w:r w:rsidR="00631504">
        <w:t xml:space="preserve">the employment policies in these </w:t>
      </w:r>
      <w:r>
        <w:t xml:space="preserve">handbooks regularly can make employers vulnerable to legal risks and liabilities, resulting in costly fines, </w:t>
      </w:r>
      <w:r>
        <w:t>penalties</w:t>
      </w:r>
      <w:r>
        <w:t xml:space="preserve"> and attorneys’ fees. Employment laws are often complicated, and employers </w:t>
      </w:r>
      <w:r w:rsidR="00631504">
        <w:t>must be aware of</w:t>
      </w:r>
      <w:r>
        <w:t xml:space="preserve"> new regulatory developments that may impact their organizations and workforce. The start of the year provides employers </w:t>
      </w:r>
      <w:r w:rsidR="00631504">
        <w:t xml:space="preserve">with </w:t>
      </w:r>
      <w:r>
        <w:t>an excellent opportunity to review and update the</w:t>
      </w:r>
      <w:r w:rsidR="00631504">
        <w:t>ir</w:t>
      </w:r>
      <w:r>
        <w:t xml:space="preserve"> policies</w:t>
      </w:r>
      <w:r w:rsidR="00631504">
        <w:t>.</w:t>
      </w:r>
    </w:p>
    <w:p w:rsidR="00850178" w:rsidRPr="00572E65" w:rsidP="00850178" w14:paraId="4E13EDAD" w14:textId="72029937">
      <w:pPr>
        <w:pStyle w:val="body"/>
      </w:pPr>
      <w:r>
        <w:t>To assist with this effort, t</w:t>
      </w:r>
      <w:r>
        <w:t>his article explores five employment policies employers should consider reviewing in 202</w:t>
      </w:r>
      <w:r w:rsidR="00B02B97">
        <w:t>4</w:t>
      </w:r>
      <w:r>
        <w:t>.</w:t>
      </w:r>
    </w:p>
    <w:p w:rsidR="00850178" w:rsidRPr="004E2786" w:rsidP="00850178" w14:paraId="6D91E3E1" w14:textId="574CD531">
      <w:pPr>
        <w:pStyle w:val="Heading1"/>
        <w:rPr>
          <w:bCs/>
        </w:rPr>
      </w:pPr>
      <w:r w:rsidRPr="005556D6">
        <w:t>1.</w:t>
      </w:r>
      <w:r>
        <w:rPr>
          <w:bCs/>
        </w:rPr>
        <w:t xml:space="preserve"> </w:t>
      </w:r>
      <w:r w:rsidR="002C6F60">
        <w:rPr>
          <w:bCs/>
        </w:rPr>
        <w:t>CROWN Act</w:t>
      </w:r>
    </w:p>
    <w:p w:rsidR="00F311A6" w:rsidP="00F311A6" w14:paraId="28A77647" w14:textId="11DDFACA">
      <w:pPr>
        <w:pStyle w:val="body"/>
      </w:pPr>
      <w:r>
        <w:t>In 2023, many states</w:t>
      </w:r>
      <w:r w:rsidRPr="00B31B4D">
        <w:t xml:space="preserve"> </w:t>
      </w:r>
      <w:r>
        <w:t>and localities enacted laws prohibiting discrimination</w:t>
      </w:r>
      <w:r w:rsidR="00837021">
        <w:t xml:space="preserve"> based on an individual’s hair texture and style associated with a protected class, such as race</w:t>
      </w:r>
      <w:r>
        <w:t xml:space="preserve">. As of </w:t>
      </w:r>
      <w:r w:rsidR="002B67DA">
        <w:t xml:space="preserve">September </w:t>
      </w:r>
      <w:r>
        <w:t xml:space="preserve">2023, 23 states </w:t>
      </w:r>
      <w:r w:rsidR="008030D7">
        <w:t xml:space="preserve">had </w:t>
      </w:r>
      <w:r w:rsidR="008C1D54">
        <w:t>passed the Creating a Respectful and Open World for Natural Hair (CROWN) Act</w:t>
      </w:r>
      <w:r>
        <w:t xml:space="preserve">. </w:t>
      </w:r>
      <w:r w:rsidRPr="00B31B4D">
        <w:t>Additionally, the U.S. Virgin Islands and more than 40 localities have passed CROWN laws.</w:t>
      </w:r>
      <w:r w:rsidRPr="00F311A6">
        <w:t xml:space="preserve"> </w:t>
      </w:r>
      <w:r w:rsidRPr="00B31B4D">
        <w:t>Many states that have not passed a CROWN Act have filed or pre-filed similar legislation.</w:t>
      </w:r>
      <w:r>
        <w:t xml:space="preserve"> </w:t>
      </w:r>
      <w:r w:rsidR="002B198F">
        <w:t>CROWN</w:t>
      </w:r>
      <w:r w:rsidRPr="00B31B4D" w:rsidR="002B198F">
        <w:t xml:space="preserve"> laws generally forbid discrimination based on hair textures or protective hairstyles commonly associated with a protected characteristic, such as race, national </w:t>
      </w:r>
      <w:r w:rsidRPr="00B31B4D" w:rsidR="002B198F">
        <w:t>origin</w:t>
      </w:r>
      <w:r w:rsidRPr="00B31B4D" w:rsidR="002B198F">
        <w:t xml:space="preserve"> and ethnicity.</w:t>
      </w:r>
      <w:r w:rsidR="002B198F">
        <w:t xml:space="preserve"> Looking ahead, </w:t>
      </w:r>
      <w:r>
        <w:t xml:space="preserve">the </w:t>
      </w:r>
      <w:r w:rsidRPr="00B31B4D">
        <w:t>U.S. Equal Employment Opportunity Commission</w:t>
      </w:r>
      <w:r w:rsidR="00702D59">
        <w:t xml:space="preserve"> (EEOC)</w:t>
      </w:r>
      <w:r w:rsidRPr="00B31B4D">
        <w:t xml:space="preserve"> has signaled that it will pursue discrimination claims related to hair texture and style</w:t>
      </w:r>
      <w:r w:rsidR="002B198F">
        <w:t>.</w:t>
      </w:r>
    </w:p>
    <w:p w:rsidR="00F311A6" w:rsidP="00F311A6" w14:paraId="75C895F4" w14:textId="68BCB9EE">
      <w:pPr>
        <w:pStyle w:val="body"/>
      </w:pPr>
      <w:r>
        <w:t xml:space="preserve">As </w:t>
      </w:r>
      <w:r w:rsidR="008C1D54">
        <w:t>many</w:t>
      </w:r>
      <w:r>
        <w:t xml:space="preserve"> states and localities adopt hair discrimination laws, employers </w:t>
      </w:r>
      <w:r w:rsidR="00631504">
        <w:t>must</w:t>
      </w:r>
      <w:r>
        <w:t xml:space="preserve"> ensure their </w:t>
      </w:r>
      <w:r w:rsidR="00C96503">
        <w:t xml:space="preserve">workplace dress code </w:t>
      </w:r>
      <w:r>
        <w:t xml:space="preserve">policies are current and comply with </w:t>
      </w:r>
      <w:r w:rsidR="00710F36">
        <w:t xml:space="preserve">state and </w:t>
      </w:r>
      <w:r>
        <w:t xml:space="preserve">local laws. It is critical to review existing policies to ensure they </w:t>
      </w:r>
      <w:r w:rsidR="00072E1C">
        <w:t xml:space="preserve">accommodate different hairstyles by not banning or restricting certain hair textures and styles that are associated with race, national </w:t>
      </w:r>
      <w:r w:rsidR="00072E1C">
        <w:t>origin</w:t>
      </w:r>
      <w:r w:rsidR="00072E1C">
        <w:t xml:space="preserve"> and ethnicity</w:t>
      </w:r>
      <w:r>
        <w:t xml:space="preserve">. </w:t>
      </w:r>
    </w:p>
    <w:p w:rsidR="00800241" w:rsidRPr="00E971C0" w:rsidP="00E971C0" w14:paraId="2BE415E1" w14:textId="231FCDE8">
      <w:pPr>
        <w:pStyle w:val="Heading1"/>
        <w:rPr>
          <w:bCs/>
        </w:rPr>
      </w:pPr>
      <w:r>
        <w:rPr>
          <w:bCs/>
        </w:rPr>
        <w:t>2. P</w:t>
      </w:r>
      <w:r w:rsidR="00E329A6">
        <w:rPr>
          <w:bCs/>
        </w:rPr>
        <w:t>regnant Worker</w:t>
      </w:r>
      <w:r w:rsidR="00FA0120">
        <w:rPr>
          <w:bCs/>
        </w:rPr>
        <w:t>s</w:t>
      </w:r>
      <w:r w:rsidR="00E329A6">
        <w:rPr>
          <w:bCs/>
        </w:rPr>
        <w:t xml:space="preserve"> Fairness Act</w:t>
      </w:r>
    </w:p>
    <w:p w:rsidR="00E971C0" w:rsidP="00E971C0" w14:paraId="3B6F0781" w14:textId="1C47DCEC">
      <w:pPr>
        <w:pStyle w:val="body"/>
      </w:pPr>
      <w:r>
        <w:t>The Pregnant Workers Fairness Act (PWFA), signed into law on Dec. 29, 2022, became effective on June 27, 2023. Under this law, employers with at least 15 employees must provide reasonable accommodations to workers with known limitations related to pregnancy, childbirth or related medical conditions unless the accommodation will cause the employer an “undue hardship.”</w:t>
      </w:r>
      <w:r w:rsidRPr="00E971C0">
        <w:t xml:space="preserve"> </w:t>
      </w:r>
      <w:r>
        <w:t xml:space="preserve">The </w:t>
      </w:r>
      <w:r w:rsidR="00B732FD">
        <w:t>EEOC</w:t>
      </w:r>
      <w:r>
        <w:t xml:space="preserve"> has started accepting charges under the PWFA for situations </w:t>
      </w:r>
      <w:r w:rsidR="00115F5B">
        <w:t xml:space="preserve">occurring </w:t>
      </w:r>
      <w:r>
        <w:t>on June 27, 2023, or later.</w:t>
      </w:r>
    </w:p>
    <w:p w:rsidR="00800241" w:rsidP="00800241" w14:paraId="5C107424" w14:textId="022852EF">
      <w:pPr>
        <w:pStyle w:val="body"/>
      </w:pPr>
      <w:r w:rsidRPr="007023F8">
        <w:t xml:space="preserve">The number of lawsuits claiming employers failed to </w:t>
      </w:r>
      <w:r>
        <w:t xml:space="preserve">accommodate pregnant workers will likely increase in 2024. As such, </w:t>
      </w:r>
      <w:r w:rsidR="008C1D54">
        <w:t xml:space="preserve">employers </w:t>
      </w:r>
      <w:r w:rsidR="00391D56">
        <w:t xml:space="preserve">should </w:t>
      </w:r>
      <w:r w:rsidR="008C1D54">
        <w:t>review</w:t>
      </w:r>
      <w:r>
        <w:t xml:space="preserve"> and familiarize themselves with this law. Savvy employers will look at the EEOC’s final PWFA regulations and consider including a policy in their 2024 employee handbook that </w:t>
      </w:r>
      <w:r w:rsidR="008C1D54">
        <w:t>explicitly addresses</w:t>
      </w:r>
      <w:r>
        <w:t xml:space="preserve"> PWFA</w:t>
      </w:r>
      <w:r w:rsidR="00021C7B">
        <w:t xml:space="preserve"> accommodations</w:t>
      </w:r>
      <w:r>
        <w:t xml:space="preserve">. Moreover, </w:t>
      </w:r>
      <w:r w:rsidR="0003196A">
        <w:t xml:space="preserve">forward-thinking employers will increasingly </w:t>
      </w:r>
      <w:r w:rsidR="00DD1AAB">
        <w:t>engage</w:t>
      </w:r>
      <w:r w:rsidRPr="00EA513F" w:rsidR="00EA513F">
        <w:t xml:space="preserve"> in the interactive process with covered employees and applicants who </w:t>
      </w:r>
      <w:r w:rsidR="00DD1AAB">
        <w:t>require accommodations under PWFA.</w:t>
      </w:r>
    </w:p>
    <w:p w:rsidR="00E971C0" w:rsidP="00800241" w14:paraId="6E78E8BF" w14:textId="77777777">
      <w:pPr>
        <w:pStyle w:val="body"/>
      </w:pPr>
    </w:p>
    <w:p w:rsidR="00850178" w:rsidP="007023F8" w14:paraId="587F101E" w14:textId="36DB5EE2">
      <w:pPr>
        <w:pStyle w:val="body"/>
      </w:pPr>
      <w:r>
        <w:t xml:space="preserve"> </w:t>
      </w:r>
    </w:p>
    <w:p w:rsidR="00850178" w:rsidP="00F35AB1" w14:paraId="0D11555A" w14:textId="5907CE10">
      <w:pPr>
        <w:pStyle w:val="Bulletedlist-hrinsights"/>
        <w:numPr>
          <w:ilvl w:val="0"/>
          <w:numId w:val="0"/>
        </w:numPr>
      </w:pPr>
    </w:p>
    <w:p w:rsidR="00850178" w:rsidP="00850178" w14:paraId="03185615" w14:textId="35DD7D01">
      <w:pPr>
        <w:pStyle w:val="Bulletedlist-hrinsights"/>
        <w:numPr>
          <w:ilvl w:val="0"/>
          <w:numId w:val="0"/>
        </w:numPr>
        <w:ind w:left="720" w:hanging="360"/>
        <w:sectPr w:rsidSect="00840558">
          <w:headerReference w:type="default" r:id="rId6"/>
          <w:headerReference w:type="first" r:id="rId7"/>
          <w:footerReference w:type="first" r:id="rId8"/>
          <w:pgSz w:w="12240" w:h="15840"/>
          <w:pgMar w:top="3312" w:right="1152" w:bottom="1872" w:left="1152" w:header="720" w:footer="720" w:gutter="0"/>
          <w:cols w:num="2" w:space="720"/>
          <w:titlePg/>
          <w:docGrid w:linePitch="360"/>
        </w:sectPr>
      </w:pPr>
    </w:p>
    <w:p w:rsidR="00DC7C9D" w:rsidP="00DC7C9D" w14:paraId="087FDEE2" w14:textId="2FAE52F8">
      <w:pPr>
        <w:pStyle w:val="Heading1"/>
      </w:pPr>
      <w:r>
        <w:t xml:space="preserve">3. </w:t>
      </w:r>
      <w:r w:rsidR="008F30DC">
        <w:t>No</w:t>
      </w:r>
      <w:r w:rsidR="00631504">
        <w:t>n</w:t>
      </w:r>
      <w:r w:rsidR="008F30DC">
        <w:t>compete Agreements</w:t>
      </w:r>
    </w:p>
    <w:p w:rsidR="00662C7F" w:rsidP="007974B2" w14:paraId="3997D09B" w14:textId="16E5AE26">
      <w:pPr>
        <w:pStyle w:val="body"/>
      </w:pPr>
      <w:r>
        <w:t xml:space="preserve">In January 2023, the Federal Trade Commission (FTC) proposed a rule </w:t>
      </w:r>
      <w:r w:rsidR="008C1D54">
        <w:t>banning</w:t>
      </w:r>
      <w:r>
        <w:t xml:space="preserve"> most noncompete agreements. </w:t>
      </w:r>
      <w:r w:rsidR="008C1D54">
        <w:t>The FTC is expected to</w:t>
      </w:r>
      <w:r>
        <w:t xml:space="preserve"> vote on this rule in April 2024. Additionally, about six months after the FTC announced its proposed rule, the </w:t>
      </w:r>
      <w:r w:rsidRPr="00662C7F">
        <w:t>National Labor Relations Board</w:t>
      </w:r>
      <w:r>
        <w:t xml:space="preserve"> </w:t>
      </w:r>
      <w:r w:rsidR="008C1D54">
        <w:t>stated</w:t>
      </w:r>
      <w:r>
        <w:t xml:space="preserve"> that most noncompete and </w:t>
      </w:r>
      <w:r>
        <w:t>nonsolicitation</w:t>
      </w:r>
      <w:r>
        <w:t xml:space="preserve"> agreements violate the N</w:t>
      </w:r>
      <w:r w:rsidR="00D51BD9">
        <w:t xml:space="preserve">ational </w:t>
      </w:r>
      <w:r>
        <w:t>L</w:t>
      </w:r>
      <w:r w:rsidR="00D51BD9">
        <w:t xml:space="preserve">abor </w:t>
      </w:r>
      <w:r>
        <w:t>R</w:t>
      </w:r>
      <w:r w:rsidR="00D51BD9">
        <w:t xml:space="preserve">elations </w:t>
      </w:r>
      <w:r>
        <w:t>A</w:t>
      </w:r>
      <w:r w:rsidR="00D51BD9">
        <w:t>ct</w:t>
      </w:r>
      <w:r>
        <w:t xml:space="preserve">. </w:t>
      </w:r>
      <w:r w:rsidR="009662D5">
        <w:t xml:space="preserve">Many states have also passed noncompete bans or taken action to ensure </w:t>
      </w:r>
      <w:r w:rsidR="009662D5">
        <w:t>noncompetes</w:t>
      </w:r>
      <w:r w:rsidR="009662D5">
        <w:t xml:space="preserve"> are unenforceable.</w:t>
      </w:r>
    </w:p>
    <w:p w:rsidR="009662D5" w:rsidP="007974B2" w14:paraId="0BB825AF" w14:textId="78A74C3C">
      <w:pPr>
        <w:pStyle w:val="body"/>
      </w:pPr>
      <w:r>
        <w:t xml:space="preserve">Due to the shifting legislation surrounding </w:t>
      </w:r>
      <w:r w:rsidR="00826AC6">
        <w:t>these policies</w:t>
      </w:r>
      <w:r>
        <w:t xml:space="preserve">, employers </w:t>
      </w:r>
      <w:r w:rsidR="00826AC6">
        <w:t xml:space="preserve">need to ensure their noncompete agreements are tailored to the state and locality where </w:t>
      </w:r>
      <w:r w:rsidR="004864B5">
        <w:t xml:space="preserve">their </w:t>
      </w:r>
      <w:r w:rsidR="00826AC6">
        <w:t xml:space="preserve">employees work. </w:t>
      </w:r>
      <w:r w:rsidR="00774DD4">
        <w:t xml:space="preserve">Moreover, employers can consider </w:t>
      </w:r>
      <w:r w:rsidR="007376B1">
        <w:t xml:space="preserve">limiting or </w:t>
      </w:r>
      <w:r w:rsidR="00774DD4">
        <w:t xml:space="preserve">eliminating noncompete </w:t>
      </w:r>
      <w:r w:rsidR="007A0277">
        <w:t xml:space="preserve">agreements and </w:t>
      </w:r>
      <w:r w:rsidR="00774DD4">
        <w:t xml:space="preserve">policies </w:t>
      </w:r>
      <w:r w:rsidR="004D0139">
        <w:t>to avoid potential litigation</w:t>
      </w:r>
      <w:r w:rsidR="004864B5">
        <w:t xml:space="preserve"> and </w:t>
      </w:r>
      <w:r w:rsidR="00994212">
        <w:t xml:space="preserve">unnecessary enforcement hurdles. </w:t>
      </w:r>
    </w:p>
    <w:p w:rsidR="00DC7C9D" w:rsidP="00DC7C9D" w14:paraId="7D1A9911" w14:textId="09513547">
      <w:pPr>
        <w:pStyle w:val="Heading1"/>
      </w:pPr>
      <w:r>
        <w:t xml:space="preserve">4. </w:t>
      </w:r>
      <w:r w:rsidR="002118B8">
        <w:t>Form I-9</w:t>
      </w:r>
    </w:p>
    <w:p w:rsidR="002118B8" w:rsidP="003F7F04" w14:paraId="3AB85138" w14:textId="45248864">
      <w:pPr>
        <w:pStyle w:val="body"/>
      </w:pPr>
      <w:r>
        <w:t xml:space="preserve">In 2023, the </w:t>
      </w:r>
      <w:r w:rsidRPr="000A7E5F">
        <w:t xml:space="preserve">U.S. Department of Homeland Security’s (DHS) Citizenship and Immigration Services </w:t>
      </w:r>
      <w:r>
        <w:t>published an</w:t>
      </w:r>
      <w:r w:rsidRPr="000A7E5F">
        <w:t xml:space="preserve"> updated Employment Eligibility Verification form (Form I-9) and instructions.</w:t>
      </w:r>
      <w:r>
        <w:t xml:space="preserve"> </w:t>
      </w:r>
      <w:r w:rsidR="000E6861">
        <w:t>T</w:t>
      </w:r>
      <w:r w:rsidRPr="000E6861" w:rsidR="000E6861">
        <w:t xml:space="preserve">he DHS also issued a final rule </w:t>
      </w:r>
      <w:r w:rsidR="008C1D54">
        <w:t>that</w:t>
      </w:r>
      <w:r w:rsidRPr="000E6861" w:rsidR="000E6861">
        <w:t xml:space="preserve"> will amend agency regulations to allow for the authorization of alternative document examination procedures, such as remote documentation verification and examination.</w:t>
      </w:r>
      <w:r w:rsidR="007362E0">
        <w:t xml:space="preserve"> Employers had to start using </w:t>
      </w:r>
      <w:r w:rsidR="00516F46">
        <w:t>the new form as of Nov. 1, 2023, to avoid penalties.</w:t>
      </w:r>
    </w:p>
    <w:p w:rsidR="000E6861" w:rsidP="003F7F04" w14:paraId="68E8576F" w14:textId="50A04291">
      <w:pPr>
        <w:pStyle w:val="body"/>
      </w:pPr>
      <w:r w:rsidRPr="00825148">
        <w:t xml:space="preserve">Complying with Form I-9 requirements is often challenging and places a </w:t>
      </w:r>
      <w:r w:rsidR="00631504">
        <w:t>significant</w:t>
      </w:r>
      <w:r w:rsidRPr="00825148" w:rsidR="00631504">
        <w:t xml:space="preserve"> </w:t>
      </w:r>
      <w:r w:rsidRPr="00825148">
        <w:t xml:space="preserve">administrative burden on employers. Failing to complete and retain Forms I-9 for all employees can be extremely costly. Form I-9 violations often can lead to additional fines and penalties from other government agencies. While the required timelines for completing Forms I-9 for employees haven’t changed, the updated form will likely force employers to make some changes to their Form I-9 operations and processes. </w:t>
      </w:r>
      <w:r w:rsidR="00A55487">
        <w:t>Therefore</w:t>
      </w:r>
      <w:r w:rsidRPr="007B5FD6" w:rsidR="007B5FD6">
        <w:t>,</w:t>
      </w:r>
      <w:r w:rsidR="007B5FD6">
        <w:t xml:space="preserve"> employers should familiarize themselves with the updated form</w:t>
      </w:r>
      <w:r w:rsidR="00E138B0">
        <w:t xml:space="preserve"> and </w:t>
      </w:r>
      <w:r w:rsidR="007B5FD6">
        <w:t xml:space="preserve">establish a plan for implementing </w:t>
      </w:r>
      <w:r w:rsidR="00E138B0">
        <w:t>the required</w:t>
      </w:r>
      <w:r w:rsidR="007B5FD6">
        <w:t xml:space="preserve"> changes</w:t>
      </w:r>
      <w:r w:rsidR="00E138B0">
        <w:t xml:space="preserve">. Savvy employers will also </w:t>
      </w:r>
      <w:r w:rsidR="007B5FD6">
        <w:t xml:space="preserve">train employer representatives and communicate with employees about plan updates. </w:t>
      </w:r>
      <w:r w:rsidRPr="00A45780" w:rsidR="00A45780">
        <w:t xml:space="preserve">Due to the complexities of complying with Form I-9 requirements, employers are </w:t>
      </w:r>
      <w:r w:rsidRPr="00A45780" w:rsidR="00A45780">
        <w:t>encouraged to seek legal counsel to discuss specific issues and concerns.</w:t>
      </w:r>
    </w:p>
    <w:p w:rsidR="00DC7C9D" w:rsidP="00DC7C9D" w14:paraId="7CE23D3E" w14:textId="0B77FB0C">
      <w:pPr>
        <w:pStyle w:val="Heading1"/>
      </w:pPr>
      <w:r>
        <w:t xml:space="preserve">5. </w:t>
      </w:r>
      <w:r w:rsidRPr="00C00E28" w:rsidR="00C00E28">
        <w:t xml:space="preserve">FLSA </w:t>
      </w:r>
      <w:r w:rsidR="00C00E28">
        <w:t>O</w:t>
      </w:r>
      <w:r w:rsidRPr="00C00E28" w:rsidR="00C00E28">
        <w:t xml:space="preserve">vertime and </w:t>
      </w:r>
      <w:r w:rsidR="00C00E28">
        <w:t>M</w:t>
      </w:r>
      <w:r w:rsidRPr="00C00E28" w:rsidR="00C00E28">
        <w:t xml:space="preserve">inimum </w:t>
      </w:r>
      <w:r w:rsidR="00C00E28">
        <w:t>W</w:t>
      </w:r>
      <w:r w:rsidRPr="00C00E28" w:rsidR="00C00E28">
        <w:t xml:space="preserve">age </w:t>
      </w:r>
      <w:r w:rsidR="00C00E28">
        <w:t>E</w:t>
      </w:r>
      <w:r w:rsidRPr="00C00E28" w:rsidR="00C00E28">
        <w:t>xemptions</w:t>
      </w:r>
    </w:p>
    <w:p w:rsidR="003A13A4" w:rsidP="00933E21" w14:paraId="61B6C986" w14:textId="25A9DBFE">
      <w:pPr>
        <w:pStyle w:val="body"/>
      </w:pPr>
      <w:r w:rsidRPr="003D0E40">
        <w:t xml:space="preserve">On Aug. 30, 2023, the U.S. Department of Labor (DOL) announced a proposed rule to amend current requirements that executive, administrative and professional employees must satisfy to be exempt from the Fair Labor Standards Act’s (FLSA) minimum wage and overtime requirements. </w:t>
      </w:r>
      <w:r w:rsidR="00933E21">
        <w:t xml:space="preserve">With this rule, the DOL </w:t>
      </w:r>
      <w:r w:rsidR="008C1D54">
        <w:t>proposes increasing</w:t>
      </w:r>
      <w:r w:rsidR="00933E21">
        <w:t xml:space="preserve"> the </w:t>
      </w:r>
      <w:r w:rsidR="00860936">
        <w:t xml:space="preserve">minimum </w:t>
      </w:r>
      <w:r w:rsidR="00933E21">
        <w:t>salary level from $684 to $1,059 per week (</w:t>
      </w:r>
      <w:r w:rsidR="00631504">
        <w:t xml:space="preserve">from </w:t>
      </w:r>
      <w:r w:rsidR="00933E21">
        <w:t xml:space="preserve">$35,568 to $55,068 per year) and from $107,432 to $143,988 per year for highly compensated employees. The rule would </w:t>
      </w:r>
      <w:r w:rsidR="006072F7">
        <w:t xml:space="preserve">also </w:t>
      </w:r>
      <w:r w:rsidR="00933E21">
        <w:t xml:space="preserve">enable the DOL to update salary levels automatically every three years without </w:t>
      </w:r>
      <w:r w:rsidR="008C1D54">
        <w:t>relying</w:t>
      </w:r>
      <w:r w:rsidR="00933E21">
        <w:t xml:space="preserve"> on the rulemaking process.</w:t>
      </w:r>
      <w:r w:rsidR="00E96B8F">
        <w:t xml:space="preserve"> The final overtime rule is expected to be released in April 2024.</w:t>
      </w:r>
    </w:p>
    <w:p w:rsidR="00795CA5" w:rsidP="00933E21" w14:paraId="4F90C6BA" w14:textId="2F269DF4">
      <w:pPr>
        <w:pStyle w:val="body"/>
      </w:pPr>
      <w:r w:rsidRPr="001C696D">
        <w:t xml:space="preserve">While the proposal doesn’t impose any new requirements on employers </w:t>
      </w:r>
      <w:r>
        <w:t>until the rule is published</w:t>
      </w:r>
      <w:r w:rsidRPr="001C696D">
        <w:t xml:space="preserve">, </w:t>
      </w:r>
      <w:r w:rsidR="00B45A35">
        <w:t xml:space="preserve">proactive </w:t>
      </w:r>
      <w:r w:rsidRPr="001C696D">
        <w:t xml:space="preserve">employers </w:t>
      </w:r>
      <w:r w:rsidR="00B45A35">
        <w:t>will review</w:t>
      </w:r>
      <w:r w:rsidRPr="001C696D">
        <w:t xml:space="preserve"> the FLSA’s proposed rule and evaluate </w:t>
      </w:r>
      <w:r w:rsidR="003B2F84">
        <w:t>the</w:t>
      </w:r>
      <w:r w:rsidRPr="001C696D">
        <w:t xml:space="preserve"> changes </w:t>
      </w:r>
      <w:r w:rsidR="00631504">
        <w:t>needed</w:t>
      </w:r>
      <w:r w:rsidR="003B2F84">
        <w:t xml:space="preserve"> to remain compliant </w:t>
      </w:r>
      <w:r w:rsidR="006C2ABF">
        <w:t>with</w:t>
      </w:r>
      <w:r w:rsidR="003B2F84">
        <w:t xml:space="preserve"> the new law</w:t>
      </w:r>
      <w:r w:rsidRPr="001C696D">
        <w:t>.</w:t>
      </w:r>
      <w:r>
        <w:t xml:space="preserve"> This may include reviewing employee compensation</w:t>
      </w:r>
      <w:r w:rsidR="004A37CC">
        <w:t>,</w:t>
      </w:r>
      <w:r>
        <w:t xml:space="preserve"> auditing exempt employees’ job duties</w:t>
      </w:r>
      <w:r w:rsidR="004A37CC">
        <w:t xml:space="preserve"> and revising workplace policies</w:t>
      </w:r>
      <w:r w:rsidR="00556AB9">
        <w:t xml:space="preserve"> to ensure compliance. </w:t>
      </w:r>
    </w:p>
    <w:p w:rsidR="00DC7C9D" w:rsidP="007D73C2" w14:paraId="0005B97C" w14:textId="3097484A">
      <w:pPr>
        <w:pStyle w:val="Heading1"/>
      </w:pPr>
      <w:r>
        <w:t>Summary</w:t>
      </w:r>
    </w:p>
    <w:p w:rsidR="00DC7C9D" w:rsidP="00DC7C9D" w14:paraId="76A9744E" w14:textId="778654FB">
      <w:pPr>
        <w:pStyle w:val="BodyText-HRInsights"/>
      </w:pPr>
      <w:r>
        <w:t xml:space="preserve">Outdated policies can often expose organizations to unnecessary legal risks. Regularly reviewing and updating employment policies is an effective and cost-effective way for employers to protect themselves. By understanding the most important </w:t>
      </w:r>
      <w:r w:rsidR="00631504">
        <w:t xml:space="preserve">rules and regulations </w:t>
      </w:r>
      <w:r>
        <w:t xml:space="preserve">to </w:t>
      </w:r>
      <w:r w:rsidR="008C1D54">
        <w:t>study</w:t>
      </w:r>
      <w:r>
        <w:t xml:space="preserve"> in 202</w:t>
      </w:r>
      <w:r w:rsidR="004F6DF4">
        <w:t>4</w:t>
      </w:r>
      <w:r>
        <w:t xml:space="preserve">, employers can take steps to ensure their </w:t>
      </w:r>
      <w:r w:rsidR="00B70493">
        <w:t>employment</w:t>
      </w:r>
      <w:r>
        <w:t xml:space="preserve"> policies are current and reflect the most recent regulatory developments.</w:t>
      </w:r>
    </w:p>
    <w:p w:rsidR="00EC6F54" w:rsidRPr="00052AFB" w:rsidP="00DC7C9D" w14:paraId="44805624" w14:textId="5DDFBF42">
      <w:pPr>
        <w:pStyle w:val="BodyText-HRInsights"/>
      </w:pPr>
      <w:r>
        <w:t xml:space="preserve">For more workplace resources, contact </w:t>
      </w:r>
      <w:r>
        <w:t>Wheeler &amp; Taylor Insurance</w:t>
      </w:r>
      <w:r>
        <w:t xml:space="preserve"> today.</w:t>
      </w:r>
    </w:p>
    <w:sectPr w:rsidSect="00840558">
      <w:headerReference w:type="first" r:id="rId9"/>
      <w:footerReference w:type="first" r:id="rId10"/>
      <w:pgSz w:w="12240" w:h="15840"/>
      <w:pgMar w:top="1440" w:right="1152" w:bottom="1872" w:left="1152" w:header="720" w:footer="720" w:gutter="0"/>
      <w:cols w:num="2"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8F3" w14:paraId="425668B3" w14:textId="77777777">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posOffset>-60960</wp:posOffset>
              </wp:positionH>
              <wp:positionV relativeFrom="paragraph">
                <wp:posOffset>-263525</wp:posOffset>
              </wp:positionV>
              <wp:extent cx="2994660" cy="495300"/>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994660" cy="495300"/>
                      </a:xfrm>
                      <a:prstGeom prst="rect">
                        <a:avLst/>
                      </a:prstGeom>
                      <a:noFill/>
                      <a:ln w="6350">
                        <a:noFill/>
                      </a:ln>
                    </wps:spPr>
                    <wps:txbx>
                      <w:txbxContent>
                        <w:p w:rsidR="005358F3" w:rsidRPr="00952C61" w:rsidP="004B630E" w14:textId="694D0324">
                          <w:pPr>
                            <w:rPr>
                              <w:rFonts w:asciiTheme="majorHAnsi" w:hAnsiTheme="majorHAnsi" w:cstheme="majorHAnsi"/>
                              <w:sz w:val="16"/>
                              <w:szCs w:val="16"/>
                            </w:rPr>
                          </w:pPr>
                          <w:r w:rsidRPr="00952C61">
                            <w:rPr>
                              <w:rFonts w:asciiTheme="majorHAnsi" w:hAnsiTheme="majorHAnsi" w:cstheme="majorHAnsi"/>
                              <w:sz w:val="16"/>
                              <w:szCs w:val="16"/>
                            </w:rPr>
                            <w:t xml:space="preserve">This HR Insights is not intended to be </w:t>
                          </w:r>
                          <w:r w:rsidRPr="00952C61">
                            <w:rPr>
                              <w:rFonts w:asciiTheme="majorHAnsi" w:hAnsiTheme="majorHAnsi" w:cstheme="majorHAnsi"/>
                              <w:sz w:val="16"/>
                              <w:szCs w:val="16"/>
                            </w:rPr>
                            <w:t>exhaustive</w:t>
                          </w:r>
                          <w:r w:rsidRPr="00952C61">
                            <w:rPr>
                              <w:rFonts w:asciiTheme="majorHAnsi" w:hAnsiTheme="majorHAnsi" w:cstheme="majorHAnsi"/>
                              <w:sz w:val="16"/>
                              <w:szCs w:val="16"/>
                            </w:rPr>
                            <w:t xml:space="preserve"> nor should any discussion or opinions be construed as professional advice. © 20</w:t>
                          </w:r>
                          <w:r w:rsidRPr="00952C61" w:rsidR="000F467B">
                            <w:rPr>
                              <w:rFonts w:asciiTheme="majorHAnsi" w:hAnsiTheme="majorHAnsi" w:cstheme="majorHAnsi"/>
                              <w:sz w:val="16"/>
                              <w:szCs w:val="16"/>
                            </w:rPr>
                            <w:t>2</w:t>
                          </w:r>
                          <w:r w:rsidR="007023F8">
                            <w:rPr>
                              <w:rFonts w:asciiTheme="majorHAnsi" w:hAnsiTheme="majorHAnsi" w:cstheme="majorHAnsi"/>
                              <w:sz w:val="16"/>
                              <w:szCs w:val="16"/>
                            </w:rPr>
                            <w:t>4</w:t>
                          </w:r>
                          <w:r w:rsidRPr="00952C61">
                            <w:rPr>
                              <w:rFonts w:asciiTheme="majorHAnsi" w:hAnsiTheme="majorHAnsi" w:cstheme="majorHAnsi"/>
                              <w:sz w:val="16"/>
                              <w:szCs w:val="16"/>
                            </w:rPr>
                            <w:t xml:space="preserve"> Zywave, Inc. All rights reserved</w:t>
                          </w:r>
                          <w:r w:rsidRPr="00952C61" w:rsidR="00952C61">
                            <w:rPr>
                              <w:rFonts w:asciiTheme="majorHAnsi" w:hAnsiTheme="majorHAnsi" w:cstheme="majorHAnsi"/>
                              <w:sz w:val="16"/>
                              <w:szCs w:val="16"/>
                            </w:rPr>
                            <w:t>.</w:t>
                          </w:r>
                        </w:p>
                        <w:p w:rsidR="005358F3" w:rsidRPr="005358F3" w:rsidP="004B630E" w14:textId="77777777">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2051" type="#_x0000_t202" style="width:235.8pt;height:39pt;margin-top:-20.75pt;margin-left:-4.8pt;mso-height-percent:0;mso-height-relative:margin;mso-position-horizontal-relative:margin;mso-width-percent:0;mso-width-relative:margin;mso-wrap-distance-bottom:0;mso-wrap-distance-left:9pt;mso-wrap-distance-right:9pt;mso-wrap-distance-top:0;position:absolute;v-text-anchor:top;z-index:251658240" filled="f" fillcolor="this" stroked="f" strokeweight="0.5pt">
              <v:textbox>
                <w:txbxContent>
                  <w:p w:rsidR="005358F3" w:rsidRPr="00952C61" w:rsidP="004B630E" w14:paraId="3455745F" w14:textId="694D0324">
                    <w:pPr>
                      <w:rPr>
                        <w:rFonts w:asciiTheme="majorHAnsi" w:hAnsiTheme="majorHAnsi" w:cstheme="majorHAnsi"/>
                        <w:sz w:val="16"/>
                        <w:szCs w:val="16"/>
                      </w:rPr>
                    </w:pPr>
                    <w:r w:rsidRPr="00952C61">
                      <w:rPr>
                        <w:rFonts w:asciiTheme="majorHAnsi" w:hAnsiTheme="majorHAnsi" w:cstheme="majorHAnsi"/>
                        <w:sz w:val="16"/>
                        <w:szCs w:val="16"/>
                      </w:rPr>
                      <w:t xml:space="preserve">This HR Insights is not intended to be </w:t>
                    </w:r>
                    <w:r w:rsidRPr="00952C61">
                      <w:rPr>
                        <w:rFonts w:asciiTheme="majorHAnsi" w:hAnsiTheme="majorHAnsi" w:cstheme="majorHAnsi"/>
                        <w:sz w:val="16"/>
                        <w:szCs w:val="16"/>
                      </w:rPr>
                      <w:t>exhaustive</w:t>
                    </w:r>
                    <w:r w:rsidRPr="00952C61">
                      <w:rPr>
                        <w:rFonts w:asciiTheme="majorHAnsi" w:hAnsiTheme="majorHAnsi" w:cstheme="majorHAnsi"/>
                        <w:sz w:val="16"/>
                        <w:szCs w:val="16"/>
                      </w:rPr>
                      <w:t xml:space="preserve"> nor should any discussion or opinions be construed as professional advice. © 20</w:t>
                    </w:r>
                    <w:r w:rsidRPr="00952C61" w:rsidR="000F467B">
                      <w:rPr>
                        <w:rFonts w:asciiTheme="majorHAnsi" w:hAnsiTheme="majorHAnsi" w:cstheme="majorHAnsi"/>
                        <w:sz w:val="16"/>
                        <w:szCs w:val="16"/>
                      </w:rPr>
                      <w:t>2</w:t>
                    </w:r>
                    <w:r w:rsidR="007023F8">
                      <w:rPr>
                        <w:rFonts w:asciiTheme="majorHAnsi" w:hAnsiTheme="majorHAnsi" w:cstheme="majorHAnsi"/>
                        <w:sz w:val="16"/>
                        <w:szCs w:val="16"/>
                      </w:rPr>
                      <w:t>4</w:t>
                    </w:r>
                    <w:r w:rsidRPr="00952C61">
                      <w:rPr>
                        <w:rFonts w:asciiTheme="majorHAnsi" w:hAnsiTheme="majorHAnsi" w:cstheme="majorHAnsi"/>
                        <w:sz w:val="16"/>
                        <w:szCs w:val="16"/>
                      </w:rPr>
                      <w:t xml:space="preserve"> Zywave, Inc. All rights reserved</w:t>
                    </w:r>
                    <w:r w:rsidRPr="00952C61" w:rsidR="00952C61">
                      <w:rPr>
                        <w:rFonts w:asciiTheme="majorHAnsi" w:hAnsiTheme="majorHAnsi" w:cstheme="majorHAnsi"/>
                        <w:sz w:val="16"/>
                        <w:szCs w:val="16"/>
                      </w:rPr>
                      <w:t>.</w:t>
                    </w:r>
                  </w:p>
                  <w:p w:rsidR="005358F3" w:rsidRPr="005358F3" w:rsidP="004B630E" w14:paraId="4D5E3182" w14:textId="77777777">
                    <w:pPr>
                      <w:rPr>
                        <w:rFonts w:asciiTheme="majorHAnsi" w:hAnsiTheme="majorHAnsi" w:cstheme="majorHAnsi"/>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8F3" w14:paraId="2D2964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9AF" w14:paraId="3673E32E" w14:textId="35950E19">
    <w:pPr>
      <w:pStyle w:val="Header"/>
    </w:pPr>
    <w:r>
      <w:rPr>
        <w:noProof/>
      </w:rPr>
      <w:drawing>
        <wp:anchor distT="0" distB="0" distL="114300" distR="114300" simplePos="0" relativeHeight="251664384" behindDoc="1" locked="0" layoutInCell="1" allowOverlap="1">
          <wp:simplePos x="0" y="0"/>
          <wp:positionH relativeFrom="page">
            <wp:align>right</wp:align>
          </wp:positionH>
          <wp:positionV relativeFrom="paragraph">
            <wp:posOffset>-457200</wp:posOffset>
          </wp:positionV>
          <wp:extent cx="7772089" cy="10057997"/>
          <wp:effectExtent l="0" t="0" r="635" b="635"/>
          <wp:wrapNone/>
          <wp:docPr id="8" name="Picture 8"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089" cy="100579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3634" w:rsidRPr="004513F1" w:rsidP="00772918" w14:paraId="58756ABA" w14:textId="2FD74571">
    <w:pPr>
      <w:pStyle w:val="Header"/>
      <w:tabs>
        <w:tab w:val="clear" w:pos="9360"/>
      </w:tabs>
      <w:rPr>
        <w:vertAlign w:val="subscript"/>
      </w:rPr>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-457200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4513F1">
      <w:rPr>
        <w:noProof/>
      </w:rPr>
      <mc:AlternateContent>
        <mc:Choice Requires="wps">
          <w:drawing>
            <wp:anchor distT="0" distB="0" distL="114300" distR="114300" simplePos="0" relativeHeight="251662336" behindDoc="0" locked="0" layoutInCell="1" allowOverlap="1">
              <wp:simplePos x="0" y="0"/>
              <wp:positionH relativeFrom="column">
                <wp:posOffset>4145280</wp:posOffset>
              </wp:positionH>
              <wp:positionV relativeFrom="paragraph">
                <wp:posOffset>1071336</wp:posOffset>
              </wp:positionV>
              <wp:extent cx="1048113" cy="0"/>
              <wp:effectExtent l="19050" t="19050" r="0"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H="1">
                        <a:off x="0" y="0"/>
                        <a:ext cx="104811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049" style="flip:x;mso-height-percent:0;mso-height-relative:margin;mso-width-percent:0;mso-width-relative:margin;mso-wrap-distance-bottom:0;mso-wrap-distance-left:9pt;mso-wrap-distance-right:9pt;mso-wrap-distance-top:0;mso-wrap-style:square;position:absolute;visibility:visible;z-index:251663360" from="326.4pt,84.35pt" to="408.95pt,84.35pt" strokecolor="black" strokeweight="2.25pt">
              <v:stroke joinstyle="miter"/>
            </v:line>
          </w:pict>
        </mc:Fallback>
      </mc:AlternateContent>
    </w:r>
    <w:r w:rsidR="004513F1">
      <w:rPr>
        <w:noProof/>
      </w:rPr>
      <mc:AlternateContent>
        <mc:Choice Requires="wps">
          <w:drawing>
            <wp:anchor distT="0" distB="0" distL="114300" distR="114300" simplePos="0" relativeHeight="251660288" behindDoc="0" locked="0" layoutInCell="1" allowOverlap="1">
              <wp:simplePos x="0" y="0"/>
              <wp:positionH relativeFrom="column">
                <wp:posOffset>1105443</wp:posOffset>
              </wp:positionH>
              <wp:positionV relativeFrom="paragraph">
                <wp:posOffset>1067707</wp:posOffset>
              </wp:positionV>
              <wp:extent cx="2488293" cy="0"/>
              <wp:effectExtent l="19050" t="19050" r="762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a:off x="0" y="0"/>
                        <a:ext cx="248829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2050" style="flip:x;mso-width-percent:0;mso-width-relative:margin;mso-wrap-distance-bottom:0;mso-wrap-distance-left:9pt;mso-wrap-distance-right:9pt;mso-wrap-distance-top:0;mso-wrap-style:square;position:absolute;visibility:visible;z-index:251661312" from="87.05pt,84.05pt" to="283pt,84.05pt" strokecolor="black" strokeweight="2.25pt">
              <v:stroke joinstyle="miter"/>
            </v:line>
          </w:pict>
        </mc:Fallback>
      </mc:AlternateContent>
    </w:r>
    <w:r w:rsidR="004513F1">
      <w:softHyphen/>
    </w:r>
    <w:r w:rsidR="004513F1">
      <w:softHyphen/>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3634" w:rsidP="00772918" w14:paraId="5301AE5D" w14:textId="77777777">
    <w:pPr>
      <w:pStyle w:val="Header"/>
      <w:tabs>
        <w:tab w:val="clear" w:pos="9360"/>
      </w:tabs>
    </w:pPr>
    <w:r>
      <w:rPr>
        <w:noProof/>
      </w:rPr>
      <w:drawing>
        <wp:anchor distT="0" distB="0" distL="114300" distR="114300" simplePos="0" relativeHeight="251659264" behindDoc="1" locked="0" layoutInCell="1" allowOverlap="1">
          <wp:simplePos x="0" y="0"/>
          <wp:positionH relativeFrom="page">
            <wp:align>left</wp:align>
          </wp:positionH>
          <wp:positionV relativeFrom="paragraph">
            <wp:posOffset>-457200</wp:posOffset>
          </wp:positionV>
          <wp:extent cx="7772089" cy="10057997"/>
          <wp:effectExtent l="0" t="0" r="63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089" cy="100579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FE6F36"/>
    <w:multiLevelType w:val="hybridMultilevel"/>
    <w:tmpl w:val="60946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DA461F"/>
    <w:multiLevelType w:val="hybridMultilevel"/>
    <w:tmpl w:val="AEBACC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10666EF"/>
    <w:multiLevelType w:val="multilevel"/>
    <w:tmpl w:val="DA80FE46"/>
    <w:numStyleLink w:val="Bulletedlist"/>
  </w:abstractNum>
  <w:abstractNum w:abstractNumId="3">
    <w:nsid w:val="360B12CF"/>
    <w:multiLevelType w:val="multilevel"/>
    <w:tmpl w:val="DA80FE46"/>
    <w:styleLink w:val="Bulletedlist"/>
    <w:lvl w:ilvl="0">
      <w:start w:val="1"/>
      <w:numFmt w:val="bullet"/>
      <w:lvlText w:val=""/>
      <w:lvlJc w:val="left"/>
      <w:pPr>
        <w:ind w:left="720" w:hanging="360"/>
      </w:pPr>
      <w:rPr>
        <w:rFonts w:ascii="Symbol" w:hAnsi="Symbol" w:hint="default"/>
        <w:color w:val="2B81BB"/>
      </w:rPr>
    </w:lvl>
    <w:lvl w:ilvl="1">
      <w:start w:val="1"/>
      <w:numFmt w:val="bullet"/>
      <w:lvlText w:val=""/>
      <w:lvlJc w:val="left"/>
      <w:pPr>
        <w:ind w:left="1440" w:hanging="360"/>
      </w:pPr>
      <w:rPr>
        <w:rFonts w:ascii="Wingdings" w:hAnsi="Wingdings" w:hint="default"/>
        <w:color w:val="2B81BB"/>
      </w:rPr>
    </w:lvl>
    <w:lvl w:ilvl="2">
      <w:start w:val="1"/>
      <w:numFmt w:val="bullet"/>
      <w:lvlText w:val=""/>
      <w:lvlJc w:val="left"/>
      <w:pPr>
        <w:ind w:left="2160" w:hanging="360"/>
      </w:pPr>
      <w:rPr>
        <w:rFonts w:ascii="Symbol" w:hAnsi="Symbol" w:hint="default"/>
        <w:b/>
        <w:i w:val="0"/>
        <w:color w:val="2B81BB"/>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6AA2200"/>
    <w:multiLevelType w:val="multilevel"/>
    <w:tmpl w:val="E37E0EE4"/>
    <w:lvl w:ilvl="0">
      <w:start w:val="1"/>
      <w:numFmt w:val="bullet"/>
      <w:pStyle w:val="Bulletedlist-hrinsights"/>
      <w:lvlText w:val=""/>
      <w:lvlJc w:val="left"/>
      <w:pPr>
        <w:ind w:left="720" w:hanging="360"/>
      </w:pPr>
      <w:rPr>
        <w:rFonts w:ascii="Symbol" w:hAnsi="Symbol" w:hint="default"/>
        <w:color w:val="auto"/>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Symbol" w:hAnsi="Symbol" w:hint="default"/>
        <w:b/>
        <w:i w:val="0"/>
        <w:color w:val="2B81BB"/>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D4C2FCB"/>
    <w:multiLevelType w:val="hybridMultilevel"/>
    <w:tmpl w:val="90360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6743505">
    <w:abstractNumId w:val="3"/>
  </w:num>
  <w:num w:numId="2" w16cid:durableId="1388650643">
    <w:abstractNumId w:val="2"/>
  </w:num>
  <w:num w:numId="3" w16cid:durableId="123157502">
    <w:abstractNumId w:val="4"/>
  </w:num>
  <w:num w:numId="4" w16cid:durableId="2016616927">
    <w:abstractNumId w:val="5"/>
  </w:num>
  <w:num w:numId="5" w16cid:durableId="1100099654">
    <w:abstractNumId w:val="1"/>
  </w:num>
  <w:num w:numId="6" w16cid:durableId="157909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5424" w:allStyles="0" w:alternateStyleNames="0" w:clearFormatting="1" w:customStyles="0" w:directFormattingOnNumbering="1" w:directFormattingOnParagraphs="0" w:directFormattingOnRuns="0" w:directFormattingOnTables="0" w:headingStyles="1" w:latentStyles="1" w:numberingStyles="0" w:stylesInUse="0" w:tableStyles="0" w:top3HeadingStyles="0" w:visibleStyl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3B9"/>
    <w:rsid w:val="000106B8"/>
    <w:rsid w:val="000209B4"/>
    <w:rsid w:val="00021C7B"/>
    <w:rsid w:val="00023E01"/>
    <w:rsid w:val="0003196A"/>
    <w:rsid w:val="00052AFB"/>
    <w:rsid w:val="00054747"/>
    <w:rsid w:val="00072E1C"/>
    <w:rsid w:val="000A7E5F"/>
    <w:rsid w:val="000B034E"/>
    <w:rsid w:val="000C5757"/>
    <w:rsid w:val="000C6B83"/>
    <w:rsid w:val="000E21E1"/>
    <w:rsid w:val="000E6861"/>
    <w:rsid w:val="000F467B"/>
    <w:rsid w:val="0010514E"/>
    <w:rsid w:val="00115F5B"/>
    <w:rsid w:val="001244F7"/>
    <w:rsid w:val="00126F7F"/>
    <w:rsid w:val="00181550"/>
    <w:rsid w:val="00192D3B"/>
    <w:rsid w:val="001C696D"/>
    <w:rsid w:val="00202BEC"/>
    <w:rsid w:val="00204746"/>
    <w:rsid w:val="002118B8"/>
    <w:rsid w:val="00216EF6"/>
    <w:rsid w:val="002437EB"/>
    <w:rsid w:val="002445DC"/>
    <w:rsid w:val="002606B0"/>
    <w:rsid w:val="00261BF2"/>
    <w:rsid w:val="002B198F"/>
    <w:rsid w:val="002B67DA"/>
    <w:rsid w:val="002B6BB1"/>
    <w:rsid w:val="002C4D20"/>
    <w:rsid w:val="002C6F60"/>
    <w:rsid w:val="002D0EC4"/>
    <w:rsid w:val="002E3264"/>
    <w:rsid w:val="002F4709"/>
    <w:rsid w:val="00312E69"/>
    <w:rsid w:val="00320BA5"/>
    <w:rsid w:val="003804A6"/>
    <w:rsid w:val="003902EF"/>
    <w:rsid w:val="00391D56"/>
    <w:rsid w:val="003A13A4"/>
    <w:rsid w:val="003B2F84"/>
    <w:rsid w:val="003B4B47"/>
    <w:rsid w:val="003C2C75"/>
    <w:rsid w:val="003D0E40"/>
    <w:rsid w:val="003D7C33"/>
    <w:rsid w:val="003F7F04"/>
    <w:rsid w:val="00403BAA"/>
    <w:rsid w:val="004106C3"/>
    <w:rsid w:val="00421CD2"/>
    <w:rsid w:val="00445B8E"/>
    <w:rsid w:val="004513F1"/>
    <w:rsid w:val="00460FF3"/>
    <w:rsid w:val="00464114"/>
    <w:rsid w:val="004769E1"/>
    <w:rsid w:val="004864B5"/>
    <w:rsid w:val="004A37CC"/>
    <w:rsid w:val="004A43F6"/>
    <w:rsid w:val="004A6551"/>
    <w:rsid w:val="004B630E"/>
    <w:rsid w:val="004C342C"/>
    <w:rsid w:val="004C4940"/>
    <w:rsid w:val="004D0139"/>
    <w:rsid w:val="004E2786"/>
    <w:rsid w:val="004F2798"/>
    <w:rsid w:val="004F6DF4"/>
    <w:rsid w:val="00504E3B"/>
    <w:rsid w:val="005064AF"/>
    <w:rsid w:val="00516F46"/>
    <w:rsid w:val="005358F3"/>
    <w:rsid w:val="00543480"/>
    <w:rsid w:val="005556D6"/>
    <w:rsid w:val="00556AB9"/>
    <w:rsid w:val="00571564"/>
    <w:rsid w:val="00572E65"/>
    <w:rsid w:val="00575910"/>
    <w:rsid w:val="00577195"/>
    <w:rsid w:val="0058495E"/>
    <w:rsid w:val="0059015E"/>
    <w:rsid w:val="00594D43"/>
    <w:rsid w:val="005A3634"/>
    <w:rsid w:val="005B30DA"/>
    <w:rsid w:val="005B79F5"/>
    <w:rsid w:val="006072F7"/>
    <w:rsid w:val="00631504"/>
    <w:rsid w:val="00644F4A"/>
    <w:rsid w:val="00646900"/>
    <w:rsid w:val="00662C7F"/>
    <w:rsid w:val="00664D8B"/>
    <w:rsid w:val="00697206"/>
    <w:rsid w:val="006C2ABF"/>
    <w:rsid w:val="006D20D0"/>
    <w:rsid w:val="006D2D71"/>
    <w:rsid w:val="007023F8"/>
    <w:rsid w:val="00702D59"/>
    <w:rsid w:val="00710F36"/>
    <w:rsid w:val="00734638"/>
    <w:rsid w:val="007362E0"/>
    <w:rsid w:val="007376B1"/>
    <w:rsid w:val="00747EB0"/>
    <w:rsid w:val="00763677"/>
    <w:rsid w:val="00770265"/>
    <w:rsid w:val="00772918"/>
    <w:rsid w:val="007731CB"/>
    <w:rsid w:val="00774DD4"/>
    <w:rsid w:val="007877F3"/>
    <w:rsid w:val="007878AD"/>
    <w:rsid w:val="0079281B"/>
    <w:rsid w:val="00795CA5"/>
    <w:rsid w:val="007974B2"/>
    <w:rsid w:val="007A0277"/>
    <w:rsid w:val="007B5FD6"/>
    <w:rsid w:val="007C38F8"/>
    <w:rsid w:val="007C588E"/>
    <w:rsid w:val="007D73C2"/>
    <w:rsid w:val="007E68C8"/>
    <w:rsid w:val="007F6CA5"/>
    <w:rsid w:val="00800241"/>
    <w:rsid w:val="008030D7"/>
    <w:rsid w:val="008036C6"/>
    <w:rsid w:val="0081197A"/>
    <w:rsid w:val="00814438"/>
    <w:rsid w:val="00817072"/>
    <w:rsid w:val="008244E9"/>
    <w:rsid w:val="00824A7F"/>
    <w:rsid w:val="00825148"/>
    <w:rsid w:val="00826AC6"/>
    <w:rsid w:val="00837021"/>
    <w:rsid w:val="00840558"/>
    <w:rsid w:val="00850178"/>
    <w:rsid w:val="00860936"/>
    <w:rsid w:val="00867846"/>
    <w:rsid w:val="008A4CAA"/>
    <w:rsid w:val="008A7236"/>
    <w:rsid w:val="008C1D54"/>
    <w:rsid w:val="008C5AD5"/>
    <w:rsid w:val="008C7F67"/>
    <w:rsid w:val="008D049C"/>
    <w:rsid w:val="008F30DC"/>
    <w:rsid w:val="00903AFA"/>
    <w:rsid w:val="00916531"/>
    <w:rsid w:val="00926090"/>
    <w:rsid w:val="009319F3"/>
    <w:rsid w:val="00933E21"/>
    <w:rsid w:val="0094348D"/>
    <w:rsid w:val="00946B54"/>
    <w:rsid w:val="00952C61"/>
    <w:rsid w:val="00962BC8"/>
    <w:rsid w:val="009654A5"/>
    <w:rsid w:val="009662D5"/>
    <w:rsid w:val="00994212"/>
    <w:rsid w:val="009E28BF"/>
    <w:rsid w:val="00A04C15"/>
    <w:rsid w:val="00A301F9"/>
    <w:rsid w:val="00A34DC9"/>
    <w:rsid w:val="00A379AF"/>
    <w:rsid w:val="00A45780"/>
    <w:rsid w:val="00A55487"/>
    <w:rsid w:val="00A81491"/>
    <w:rsid w:val="00A9296E"/>
    <w:rsid w:val="00AB6C62"/>
    <w:rsid w:val="00AC55E8"/>
    <w:rsid w:val="00AE2DE3"/>
    <w:rsid w:val="00AE614B"/>
    <w:rsid w:val="00AF71E3"/>
    <w:rsid w:val="00B02B97"/>
    <w:rsid w:val="00B17017"/>
    <w:rsid w:val="00B31B4D"/>
    <w:rsid w:val="00B45A35"/>
    <w:rsid w:val="00B5695E"/>
    <w:rsid w:val="00B70493"/>
    <w:rsid w:val="00B732FD"/>
    <w:rsid w:val="00B84C63"/>
    <w:rsid w:val="00B878EE"/>
    <w:rsid w:val="00BD440E"/>
    <w:rsid w:val="00BF77A6"/>
    <w:rsid w:val="00C00E28"/>
    <w:rsid w:val="00C01797"/>
    <w:rsid w:val="00C01F0F"/>
    <w:rsid w:val="00C0682B"/>
    <w:rsid w:val="00C1448B"/>
    <w:rsid w:val="00C15712"/>
    <w:rsid w:val="00C2018D"/>
    <w:rsid w:val="00C21711"/>
    <w:rsid w:val="00C811A2"/>
    <w:rsid w:val="00C823D9"/>
    <w:rsid w:val="00C8529B"/>
    <w:rsid w:val="00C92365"/>
    <w:rsid w:val="00C96503"/>
    <w:rsid w:val="00CA7B5E"/>
    <w:rsid w:val="00CE0053"/>
    <w:rsid w:val="00CE3F5F"/>
    <w:rsid w:val="00D442BF"/>
    <w:rsid w:val="00D51BD9"/>
    <w:rsid w:val="00D553A5"/>
    <w:rsid w:val="00D643C5"/>
    <w:rsid w:val="00D7046A"/>
    <w:rsid w:val="00D81C73"/>
    <w:rsid w:val="00DA2CBD"/>
    <w:rsid w:val="00DC7C9D"/>
    <w:rsid w:val="00DD1AAB"/>
    <w:rsid w:val="00DD64A5"/>
    <w:rsid w:val="00DD6FDA"/>
    <w:rsid w:val="00DF10D4"/>
    <w:rsid w:val="00DF4020"/>
    <w:rsid w:val="00DF42CA"/>
    <w:rsid w:val="00E027F6"/>
    <w:rsid w:val="00E061FD"/>
    <w:rsid w:val="00E138B0"/>
    <w:rsid w:val="00E16A12"/>
    <w:rsid w:val="00E329A6"/>
    <w:rsid w:val="00E34160"/>
    <w:rsid w:val="00E44C19"/>
    <w:rsid w:val="00E933CD"/>
    <w:rsid w:val="00E96B8F"/>
    <w:rsid w:val="00E971C0"/>
    <w:rsid w:val="00EA0B5C"/>
    <w:rsid w:val="00EA4EA8"/>
    <w:rsid w:val="00EA513F"/>
    <w:rsid w:val="00EC6F54"/>
    <w:rsid w:val="00ED087A"/>
    <w:rsid w:val="00F01DA3"/>
    <w:rsid w:val="00F0547F"/>
    <w:rsid w:val="00F0744C"/>
    <w:rsid w:val="00F163B9"/>
    <w:rsid w:val="00F311A6"/>
    <w:rsid w:val="00F35AB1"/>
    <w:rsid w:val="00F62668"/>
    <w:rsid w:val="00F80083"/>
    <w:rsid w:val="00FA0120"/>
    <w:rsid w:val="00FA2385"/>
    <w:rsid w:val="00FB03F4"/>
    <w:rsid w:val="00FB0C0A"/>
    <w:rsid w:val="00FC4CAB"/>
    <w:rsid w:val="00FC66DC"/>
    <w:rsid w:val="00FE2894"/>
    <w:rsid w:val="00FE4708"/>
    <w:rsid w:val="00FE6B44"/>
    <w:rsid w:val="00FF72A1"/>
    <w:rsid w:val="00FF769C"/>
  </w:rsids>
  <w:docVars>
    <w:docVar w:name="__Grammarly_42___1" w:val="H4sIAAAAAAAEAKtWcslP9kxRslIyNDY2NDcxtDC0MDI2NbU0sjRS0lEKTi0uzszPAykwrgUAIYVmJ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D8E2A3"/>
  <w15:chartTrackingRefBased/>
  <w15:docId w15:val="{DF1221DE-3E77-408E-B035-5594627F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60" w:line="259" w:lineRule="auto"/>
    </w:pPr>
    <w:rPr>
      <w:sz w:val="22"/>
      <w:szCs w:val="22"/>
    </w:rPr>
  </w:style>
  <w:style w:type="paragraph" w:styleId="Heading1">
    <w:name w:val="heading 1"/>
    <w:basedOn w:val="Normal"/>
    <w:next w:val="Normal"/>
    <w:link w:val="Heading1Char"/>
    <w:uiPriority w:val="9"/>
    <w:qFormat/>
    <w:rsid w:val="00C01797"/>
    <w:pPr>
      <w:spacing w:after="0"/>
      <w:ind w:right="187"/>
      <w:outlineLvl w:val="0"/>
    </w:pPr>
    <w:rPr>
      <w:b/>
      <w:color w:val="3B895C"/>
    </w:rPr>
  </w:style>
  <w:style w:type="paragraph" w:styleId="Heading2">
    <w:name w:val="heading 2"/>
    <w:basedOn w:val="Normal"/>
    <w:next w:val="Normal"/>
    <w:link w:val="Heading2Char"/>
    <w:uiPriority w:val="9"/>
    <w:unhideWhenUsed/>
    <w:rsid w:val="0079281B"/>
    <w:pPr>
      <w:keepNext/>
      <w:keepLines/>
      <w:spacing w:before="40" w:after="0"/>
      <w:outlineLvl w:val="1"/>
    </w:pPr>
    <w:rPr>
      <w:rFonts w:ascii="Calibri Light" w:eastAsia="Times New Roman" w:hAnsi="Calibri Light"/>
      <w:i/>
      <w:color w:val="2B81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3C5"/>
  </w:style>
  <w:style w:type="paragraph" w:styleId="Footer">
    <w:name w:val="footer"/>
    <w:basedOn w:val="Normal"/>
    <w:link w:val="FooterChar"/>
    <w:uiPriority w:val="99"/>
    <w:unhideWhenUsed/>
    <w:rsid w:val="00D64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3C5"/>
  </w:style>
  <w:style w:type="paragraph" w:styleId="Title">
    <w:name w:val="Title"/>
    <w:basedOn w:val="Normal"/>
    <w:next w:val="Normal"/>
    <w:link w:val="TitleChar"/>
    <w:uiPriority w:val="10"/>
    <w:qFormat/>
    <w:rsid w:val="00C01797"/>
    <w:pPr>
      <w:spacing w:after="0" w:line="240" w:lineRule="auto"/>
      <w:contextualSpacing/>
    </w:pPr>
    <w:rPr>
      <w:rFonts w:eastAsia="Times New Roman"/>
      <w:b/>
      <w:color w:val="3B895C"/>
      <w:spacing w:val="-10"/>
      <w:kern w:val="28"/>
      <w:sz w:val="40"/>
      <w:szCs w:val="56"/>
    </w:rPr>
  </w:style>
  <w:style w:type="character" w:customStyle="1" w:styleId="TitleChar">
    <w:name w:val="Title Char"/>
    <w:link w:val="Title"/>
    <w:uiPriority w:val="10"/>
    <w:rsid w:val="00C01797"/>
    <w:rPr>
      <w:rFonts w:eastAsia="Times New Roman"/>
      <w:b/>
      <w:color w:val="3B895C"/>
      <w:spacing w:val="-10"/>
      <w:kern w:val="28"/>
      <w:sz w:val="40"/>
      <w:szCs w:val="56"/>
    </w:rPr>
  </w:style>
  <w:style w:type="character" w:customStyle="1" w:styleId="Heading1Char">
    <w:name w:val="Heading 1 Char"/>
    <w:link w:val="Heading1"/>
    <w:uiPriority w:val="9"/>
    <w:rsid w:val="00C01797"/>
    <w:rPr>
      <w:b/>
      <w:color w:val="3B895C"/>
      <w:sz w:val="22"/>
      <w:szCs w:val="22"/>
    </w:rPr>
  </w:style>
  <w:style w:type="paragraph" w:styleId="Subtitle">
    <w:name w:val="Subtitle"/>
    <w:basedOn w:val="Normal"/>
    <w:next w:val="Normal"/>
    <w:link w:val="SubtitleChar"/>
    <w:uiPriority w:val="11"/>
    <w:rsid w:val="00BD440E"/>
    <w:pPr>
      <w:numPr>
        <w:ilvl w:val="1"/>
      </w:numPr>
    </w:pPr>
    <w:rPr>
      <w:rFonts w:eastAsia="Times New Roman"/>
      <w:color w:val="5A5A5A"/>
      <w:spacing w:val="15"/>
    </w:rPr>
  </w:style>
  <w:style w:type="character" w:customStyle="1" w:styleId="SubtitleChar">
    <w:name w:val="Subtitle Char"/>
    <w:link w:val="Subtitle"/>
    <w:uiPriority w:val="11"/>
    <w:rsid w:val="00BD440E"/>
    <w:rPr>
      <w:rFonts w:eastAsia="Times New Roman"/>
      <w:color w:val="5A5A5A"/>
      <w:spacing w:val="15"/>
    </w:rPr>
  </w:style>
  <w:style w:type="character" w:customStyle="1" w:styleId="Heading2Char">
    <w:name w:val="Heading 2 Char"/>
    <w:link w:val="Heading2"/>
    <w:uiPriority w:val="9"/>
    <w:rsid w:val="0079281B"/>
    <w:rPr>
      <w:rFonts w:ascii="Calibri Light" w:eastAsia="Times New Roman" w:hAnsi="Calibri Light"/>
      <w:i/>
      <w:color w:val="2B81BB"/>
      <w:sz w:val="22"/>
      <w:szCs w:val="22"/>
    </w:rPr>
  </w:style>
  <w:style w:type="paragraph" w:styleId="NoSpacing">
    <w:name w:val="No Spacing"/>
    <w:link w:val="NoSpacingChar"/>
    <w:uiPriority w:val="1"/>
    <w:rsid w:val="00052AFB"/>
    <w:rPr>
      <w:rFonts w:eastAsia="Times New Roman"/>
      <w:sz w:val="22"/>
      <w:szCs w:val="22"/>
    </w:rPr>
  </w:style>
  <w:style w:type="character" w:customStyle="1" w:styleId="NoSpacingChar">
    <w:name w:val="No Spacing Char"/>
    <w:link w:val="NoSpacing"/>
    <w:uiPriority w:val="1"/>
    <w:rsid w:val="00052AFB"/>
    <w:rPr>
      <w:rFonts w:eastAsia="Times New Roman"/>
      <w:sz w:val="22"/>
      <w:szCs w:val="22"/>
    </w:rPr>
  </w:style>
  <w:style w:type="paragraph" w:customStyle="1" w:styleId="Sidebar">
    <w:name w:val="Sidebar"/>
    <w:basedOn w:val="Normal"/>
    <w:link w:val="SidebarChar"/>
    <w:rsid w:val="005A3634"/>
    <w:pPr>
      <w:spacing w:before="120" w:after="0" w:line="300" w:lineRule="auto"/>
    </w:pPr>
    <w:rPr>
      <w:b/>
      <w:i/>
      <w:color w:val="5A4858"/>
      <w:sz w:val="24"/>
      <w:szCs w:val="30"/>
    </w:rPr>
  </w:style>
  <w:style w:type="numbering" w:customStyle="1" w:styleId="Bulletedlist">
    <w:name w:val="Bulleted list"/>
    <w:uiPriority w:val="99"/>
    <w:rsid w:val="00577195"/>
    <w:pPr>
      <w:numPr>
        <w:numId w:val="1"/>
      </w:numPr>
    </w:pPr>
  </w:style>
  <w:style w:type="character" w:customStyle="1" w:styleId="SidebarChar">
    <w:name w:val="Sidebar Char"/>
    <w:link w:val="Sidebar"/>
    <w:rsid w:val="005A3634"/>
    <w:rPr>
      <w:b/>
      <w:i/>
      <w:color w:val="5A4858"/>
      <w:sz w:val="24"/>
      <w:szCs w:val="30"/>
    </w:rPr>
  </w:style>
  <w:style w:type="paragraph" w:styleId="ListParagraph">
    <w:name w:val="List Paragraph"/>
    <w:basedOn w:val="Normal"/>
    <w:uiPriority w:val="34"/>
    <w:rsid w:val="00ED087A"/>
    <w:pPr>
      <w:spacing w:after="120" w:line="240" w:lineRule="auto"/>
      <w:ind w:left="720"/>
      <w:contextualSpacing/>
    </w:pPr>
    <w:rPr>
      <w:rFonts w:ascii="Verdana" w:eastAsia="Times New Roman" w:hAnsi="Verdana"/>
      <w:color w:val="5F5F5F"/>
      <w:sz w:val="18"/>
      <w:szCs w:val="24"/>
    </w:rPr>
  </w:style>
  <w:style w:type="paragraph" w:styleId="BalloonText">
    <w:name w:val="Balloon Text"/>
    <w:basedOn w:val="Normal"/>
    <w:link w:val="BalloonTextChar"/>
    <w:uiPriority w:val="99"/>
    <w:semiHidden/>
    <w:unhideWhenUsed/>
    <w:rsid w:val="00747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EB0"/>
    <w:rPr>
      <w:rFonts w:ascii="Segoe UI" w:hAnsi="Segoe UI" w:cs="Segoe UI"/>
      <w:sz w:val="18"/>
      <w:szCs w:val="18"/>
    </w:rPr>
  </w:style>
  <w:style w:type="paragraph" w:customStyle="1" w:styleId="PrimaryHeader">
    <w:name w:val="Primary Header"/>
    <w:basedOn w:val="Normal"/>
    <w:link w:val="PrimaryHeaderChar"/>
    <w:autoRedefine/>
    <w:rsid w:val="00FB0C0A"/>
    <w:pPr>
      <w:spacing w:after="80" w:line="240" w:lineRule="auto"/>
    </w:pPr>
    <w:rPr>
      <w:rFonts w:eastAsiaTheme="minorHAnsi" w:cstheme="minorHAnsi"/>
      <w:b/>
      <w:noProof/>
      <w:color w:val="000000"/>
      <w:sz w:val="26"/>
      <w:szCs w:val="26"/>
    </w:rPr>
  </w:style>
  <w:style w:type="character" w:customStyle="1" w:styleId="PrimaryHeaderChar">
    <w:name w:val="Primary Header Char"/>
    <w:basedOn w:val="DefaultParagraphFont"/>
    <w:link w:val="PrimaryHeader"/>
    <w:rsid w:val="00FB0C0A"/>
    <w:rPr>
      <w:rFonts w:eastAsiaTheme="minorHAnsi" w:cstheme="minorHAnsi"/>
      <w:b/>
      <w:noProof/>
      <w:color w:val="000000"/>
      <w:sz w:val="26"/>
      <w:szCs w:val="26"/>
    </w:rPr>
  </w:style>
  <w:style w:type="paragraph" w:customStyle="1" w:styleId="BodyText-HRInsights">
    <w:name w:val="Body Text - HR Insights"/>
    <w:basedOn w:val="Normal"/>
    <w:link w:val="BodyText-HRInsightsChar"/>
    <w:qFormat/>
    <w:rsid w:val="00763677"/>
    <w:pPr>
      <w:spacing w:after="200"/>
    </w:pPr>
    <w:rPr>
      <w:rFonts w:cs="Arial"/>
      <w:sz w:val="20"/>
      <w:szCs w:val="20"/>
    </w:rPr>
  </w:style>
  <w:style w:type="paragraph" w:customStyle="1" w:styleId="Bulletedlist-hrinsights">
    <w:name w:val="Bulleted list - hr insights"/>
    <w:basedOn w:val="Normal"/>
    <w:link w:val="Bulletedlist-hrinsightsChar"/>
    <w:qFormat/>
    <w:rsid w:val="00763677"/>
    <w:pPr>
      <w:numPr>
        <w:numId w:val="3"/>
      </w:numPr>
      <w:spacing w:after="200"/>
      <w:ind w:right="187"/>
    </w:pPr>
    <w:rPr>
      <w:rFonts w:cs="Arial"/>
      <w:bCs/>
      <w:sz w:val="20"/>
      <w:szCs w:val="20"/>
    </w:rPr>
  </w:style>
  <w:style w:type="character" w:customStyle="1" w:styleId="BodyText-HRInsightsChar">
    <w:name w:val="Body Text - HR Insights Char"/>
    <w:basedOn w:val="DefaultParagraphFont"/>
    <w:link w:val="BodyText-HRInsights"/>
    <w:rsid w:val="00763677"/>
    <w:rPr>
      <w:rFonts w:cs="Arial"/>
    </w:rPr>
  </w:style>
  <w:style w:type="character" w:customStyle="1" w:styleId="Bulletedlist-hrinsightsChar">
    <w:name w:val="Bulleted list - hr insights Char"/>
    <w:basedOn w:val="DefaultParagraphFont"/>
    <w:link w:val="Bulletedlist-hrinsights"/>
    <w:rsid w:val="00763677"/>
    <w:rPr>
      <w:rFonts w:cs="Arial"/>
      <w:bCs/>
    </w:rPr>
  </w:style>
  <w:style w:type="paragraph" w:customStyle="1" w:styleId="body">
    <w:name w:val="body"/>
    <w:basedOn w:val="Normal"/>
    <w:link w:val="bodyChar"/>
    <w:qFormat/>
    <w:rsid w:val="00850178"/>
    <w:pPr>
      <w:spacing w:after="240"/>
    </w:pPr>
    <w:rPr>
      <w:rFonts w:cs="Arial"/>
      <w:sz w:val="20"/>
      <w:szCs w:val="20"/>
    </w:rPr>
  </w:style>
  <w:style w:type="character" w:customStyle="1" w:styleId="bodyChar">
    <w:name w:val="body Char"/>
    <w:basedOn w:val="DefaultParagraphFont"/>
    <w:link w:val="body"/>
    <w:rsid w:val="00850178"/>
    <w:rPr>
      <w:rFonts w:cs="Arial"/>
    </w:rPr>
  </w:style>
  <w:style w:type="paragraph" w:customStyle="1" w:styleId="bullets">
    <w:name w:val="bullets"/>
    <w:basedOn w:val="Normal"/>
    <w:link w:val="bulletsChar"/>
    <w:qFormat/>
    <w:rsid w:val="007D73C2"/>
    <w:pPr>
      <w:spacing w:after="240"/>
      <w:ind w:left="720" w:hanging="360"/>
      <w:contextualSpacing/>
    </w:pPr>
    <w:rPr>
      <w:rFonts w:cs="Arial"/>
      <w:sz w:val="20"/>
      <w:szCs w:val="20"/>
    </w:rPr>
  </w:style>
  <w:style w:type="character" w:customStyle="1" w:styleId="bulletsChar">
    <w:name w:val="bullets Char"/>
    <w:basedOn w:val="DefaultParagraphFont"/>
    <w:link w:val="bullets"/>
    <w:rsid w:val="007D73C2"/>
    <w:rPr>
      <w:rFonts w:cs="Arial"/>
    </w:rPr>
  </w:style>
  <w:style w:type="paragraph" w:styleId="Revision">
    <w:name w:val="Revision"/>
    <w:hidden/>
    <w:uiPriority w:val="99"/>
    <w:semiHidden/>
    <w:rsid w:val="00460FF3"/>
    <w:rPr>
      <w:sz w:val="22"/>
      <w:szCs w:val="22"/>
    </w:rPr>
  </w:style>
  <w:style w:type="character" w:styleId="CommentReference">
    <w:name w:val="annotation reference"/>
    <w:basedOn w:val="DefaultParagraphFont"/>
    <w:uiPriority w:val="99"/>
    <w:semiHidden/>
    <w:unhideWhenUsed/>
    <w:rsid w:val="00631504"/>
    <w:rPr>
      <w:sz w:val="16"/>
      <w:szCs w:val="16"/>
    </w:rPr>
  </w:style>
  <w:style w:type="paragraph" w:styleId="CommentText">
    <w:name w:val="annotation text"/>
    <w:basedOn w:val="Normal"/>
    <w:link w:val="CommentTextChar"/>
    <w:uiPriority w:val="99"/>
    <w:unhideWhenUsed/>
    <w:rsid w:val="00631504"/>
    <w:pPr>
      <w:spacing w:line="240" w:lineRule="auto"/>
    </w:pPr>
    <w:rPr>
      <w:sz w:val="20"/>
      <w:szCs w:val="20"/>
    </w:rPr>
  </w:style>
  <w:style w:type="character" w:customStyle="1" w:styleId="CommentTextChar">
    <w:name w:val="Comment Text Char"/>
    <w:basedOn w:val="DefaultParagraphFont"/>
    <w:link w:val="CommentText"/>
    <w:uiPriority w:val="99"/>
    <w:rsid w:val="00631504"/>
  </w:style>
  <w:style w:type="paragraph" w:styleId="CommentSubject">
    <w:name w:val="annotation subject"/>
    <w:basedOn w:val="CommentText"/>
    <w:next w:val="CommentText"/>
    <w:link w:val="CommentSubjectChar"/>
    <w:uiPriority w:val="99"/>
    <w:semiHidden/>
    <w:unhideWhenUsed/>
    <w:rsid w:val="00631504"/>
    <w:rPr>
      <w:b/>
      <w:bCs/>
    </w:rPr>
  </w:style>
  <w:style w:type="character" w:customStyle="1" w:styleId="CommentSubjectChar">
    <w:name w:val="Comment Subject Char"/>
    <w:basedOn w:val="CommentTextChar"/>
    <w:link w:val="CommentSubject"/>
    <w:uiPriority w:val="99"/>
    <w:semiHidden/>
    <w:rsid w:val="00631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AEB72-C9A2-4571-A38C-18E888DE1109}">
  <ds:schemaRefs>
    <ds:schemaRef ds:uri="http://schemas.openxmlformats.org/officeDocument/2006/bibliography"/>
  </ds:schemaRefs>
</ds:datastoreItem>
</file>

<file path=docMetadata/LabelInfo.xml><?xml version="1.0" encoding="utf-8"?>
<clbl:labelList xmlns:clbl="http://schemas.microsoft.com/office/2020/mipLabelMetadata">
  <clbl:label id="{a342c0a1-57f4-481c-a533-a8f3be7e2e91}" enabled="1" method="Standard" siteId="{bd0c095f-5d66-4273-a209-64796ae91974}"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996</Words>
  <Characters>5808</Characters>
  <Application>Microsoft Office Word</Application>
  <DocSecurity>0</DocSecurity>
  <Lines>148</Lines>
  <Paragraphs>24</Paragraphs>
  <ScaleCrop>false</ScaleCrop>
  <HeadingPairs>
    <vt:vector size="2" baseType="variant">
      <vt:variant>
        <vt:lpstr>Title</vt:lpstr>
      </vt:variant>
      <vt:variant>
        <vt:i4>1</vt:i4>
      </vt:variant>
    </vt:vector>
  </HeadingPairs>
  <TitlesOfParts>
    <vt:vector size="1" baseType="lpstr">
      <vt:lpstr/>
    </vt:vector>
  </TitlesOfParts>
  <Company>Zywave</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Alaine Oshefsky</dc:creator>
  <cp:lastModifiedBy>Gainsburg, Rebecca</cp:lastModifiedBy>
  <cp:revision>3</cp:revision>
  <cp:lastPrinted>2018-11-01T13:58:00Z</cp:lastPrinted>
  <dcterms:created xsi:type="dcterms:W3CDTF">2024-01-29T20:14:00Z</dcterms:created>
  <dcterms:modified xsi:type="dcterms:W3CDTF">2024-01-29T20:20:00Z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d8e544047687ec0e521b064ab35876a20873bed8e67a3ab03cb0cf9f25eaf3d5</vt:lpwstr>
  </property>
</Properties>
</file>