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6" w:rsidRDefault="00542B0A" w:rsidP="00CA35A2">
      <w:pPr>
        <w:pStyle w:val="Heading10"/>
        <w:tabs>
          <w:tab w:val="left" w:pos="495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4127500</wp:posOffset>
            </wp:positionH>
            <wp:positionV relativeFrom="margin">
              <wp:posOffset>317500</wp:posOffset>
            </wp:positionV>
            <wp:extent cx="1645923" cy="1120142"/>
            <wp:effectExtent l="0" t="0" r="0" b="0"/>
            <wp:wrapNone/>
            <wp:docPr id="100007" name="Picture 100007" descr="Brok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1120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-549275</wp:posOffset>
            </wp:positionV>
            <wp:extent cx="7760335" cy="25228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board 1 copy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3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5C2" w:rsidRDefault="00DF05C2" w:rsidP="001C6786">
      <w:pPr>
        <w:pStyle w:val="Heading10"/>
        <w:tabs>
          <w:tab w:val="left" w:pos="4950"/>
        </w:tabs>
      </w:pPr>
    </w:p>
    <w:p w:rsidR="00DF05C2" w:rsidRDefault="00DF05C2" w:rsidP="001C6786">
      <w:pPr>
        <w:pStyle w:val="Heading10"/>
        <w:tabs>
          <w:tab w:val="left" w:pos="4950"/>
        </w:tabs>
      </w:pPr>
    </w:p>
    <w:p w:rsidR="00DF05C2" w:rsidRDefault="00DF05C2" w:rsidP="001C6786">
      <w:pPr>
        <w:pStyle w:val="Heading10"/>
        <w:tabs>
          <w:tab w:val="left" w:pos="4950"/>
        </w:tabs>
      </w:pPr>
    </w:p>
    <w:p w:rsidR="00DF05C2" w:rsidRDefault="00542B0A" w:rsidP="007F65D4">
      <w:pPr>
        <w:pStyle w:val="Heading10"/>
        <w:tabs>
          <w:tab w:val="left" w:pos="1680"/>
        </w:tabs>
      </w:pPr>
      <w:r>
        <w:tab/>
      </w:r>
    </w:p>
    <w:p w:rsidR="00DF05C2" w:rsidRDefault="00DF05C2" w:rsidP="001C6786">
      <w:pPr>
        <w:pStyle w:val="Heading10"/>
        <w:tabs>
          <w:tab w:val="left" w:pos="4950"/>
        </w:tabs>
      </w:pPr>
    </w:p>
    <w:p w:rsidR="007F65D4" w:rsidRDefault="00542B0A" w:rsidP="00F23327">
      <w:pPr>
        <w:rPr>
          <w:rFonts w:cs="Tahoma"/>
          <w:b/>
          <w:color w:val="6A91CB"/>
          <w:sz w:val="36"/>
          <w:szCs w:val="48"/>
        </w:rPr>
      </w:pPr>
      <w:r>
        <w:rPr>
          <w:rFonts w:cs="Tahoma"/>
          <w:b/>
          <w:color w:val="6A91CB"/>
          <w:sz w:val="36"/>
          <w:szCs w:val="48"/>
        </w:rPr>
        <w:t>O</w:t>
      </w:r>
      <w:r w:rsidRPr="007F65D4">
        <w:rPr>
          <w:rFonts w:cs="Tahoma"/>
          <w:b/>
          <w:color w:val="6A91CB"/>
          <w:sz w:val="36"/>
          <w:szCs w:val="48"/>
        </w:rPr>
        <w:t>fficials Saw More Professional Cybercriminals and Infrastructure Attacks in 2021</w:t>
      </w:r>
    </w:p>
    <w:p w:rsidR="007F65D4" w:rsidRPr="009A2D46" w:rsidRDefault="00542B0A" w:rsidP="007F65D4">
      <w:r w:rsidRPr="009A2D46">
        <w:t>Ransomware attacks on critical infrastructure increased in 2021, hitting 14 of the 16 critical infrastructure sectors in the U</w:t>
      </w:r>
      <w:r>
        <w:t>nited States</w:t>
      </w:r>
      <w:r w:rsidRPr="009A2D46">
        <w:t xml:space="preserve">, according to a </w:t>
      </w:r>
      <w:hyperlink r:id="rId10" w:history="1">
        <w:r w:rsidRPr="00D35CDD">
          <w:rPr>
            <w:rStyle w:val="Hyperlink"/>
          </w:rPr>
          <w:t>report</w:t>
        </w:r>
      </w:hyperlink>
      <w:r w:rsidRPr="009A2D46">
        <w:t xml:space="preserve"> from cybersecurity authorities in multiple countries.</w:t>
      </w:r>
    </w:p>
    <w:p w:rsidR="007F65D4" w:rsidRPr="009A2D46" w:rsidRDefault="00542B0A" w:rsidP="007F65D4">
      <w:r w:rsidRPr="009A2D46">
        <w:t xml:space="preserve">Ransomware trends and recommendations were </w:t>
      </w:r>
      <w:r w:rsidRPr="009A2D46">
        <w:t>laid out in a Joint Cybersecurity Advisory, coauthored by cybersecurity agencies in the U</w:t>
      </w:r>
      <w:r>
        <w:t>nited States</w:t>
      </w:r>
      <w:r w:rsidRPr="009A2D46">
        <w:t>, U</w:t>
      </w:r>
      <w:r>
        <w:t>nited Kingdom</w:t>
      </w:r>
      <w:r w:rsidRPr="009A2D46">
        <w:t xml:space="preserve"> and Australia. The report noted that evolving tactics and techniques of cybercriminals demonstrated their growing sophistication and their</w:t>
      </w:r>
      <w:r w:rsidRPr="009A2D46">
        <w:t xml:space="preserve"> increased threat to organizations globally.</w:t>
      </w:r>
    </w:p>
    <w:p w:rsidR="007F65D4" w:rsidRPr="009A2D46" w:rsidRDefault="00542B0A" w:rsidP="007F65D4">
      <w:r>
        <w:t>O</w:t>
      </w:r>
      <w:r w:rsidRPr="009A2D46">
        <w:t xml:space="preserve">fficials cited attacks on critical sectors </w:t>
      </w:r>
      <w:r>
        <w:t>like</w:t>
      </w:r>
      <w:r w:rsidRPr="009A2D46">
        <w:t xml:space="preserve"> the defense industrial base, emergency services, food and agriculture, government facilities and information technology.</w:t>
      </w:r>
    </w:p>
    <w:p w:rsidR="007F65D4" w:rsidRPr="009A2D46" w:rsidRDefault="00542B0A" w:rsidP="007F65D4">
      <w:r>
        <w:t>A</w:t>
      </w:r>
      <w:r w:rsidRPr="009A2D46">
        <w:t xml:space="preserve">uthorities recognized ransomware as the </w:t>
      </w:r>
      <w:r w:rsidRPr="009A2D46">
        <w:t xml:space="preserve">biggest cyberthreat facing the </w:t>
      </w:r>
      <w:r>
        <w:t>United States</w:t>
      </w:r>
      <w:r w:rsidRPr="009A2D46">
        <w:t>, with the education sector being one of the top targets. Other</w:t>
      </w:r>
      <w:r>
        <w:t xml:space="preserve"> targeted sectors</w:t>
      </w:r>
      <w:r w:rsidRPr="009A2D46">
        <w:t xml:space="preserve"> included businesses, charities, legal professionals, and public services in the local government and health sectors.</w:t>
      </w:r>
    </w:p>
    <w:p w:rsidR="007F65D4" w:rsidRPr="009A2D46" w:rsidRDefault="00542B0A" w:rsidP="007F65D4">
      <w:r w:rsidRPr="009A2D46">
        <w:t xml:space="preserve">Cybersecurity </w:t>
      </w:r>
      <w:r w:rsidRPr="009A2D46">
        <w:t>authorities observed an increasingly professional field of ransomware actors in 2021.</w:t>
      </w:r>
    </w:p>
    <w:p w:rsidR="007F65D4" w:rsidRPr="009A2D46" w:rsidRDefault="00542B0A" w:rsidP="007F65D4">
      <w:r w:rsidRPr="009A2D46">
        <w:t>Along with the increased use of ransomware-as-a-service (RaaS), threat actors employed independent services to negotiate payments, assist victims in making payments and a</w:t>
      </w:r>
      <w:r w:rsidRPr="009A2D46">
        <w:t>rbitrate payment disputes with other cybercriminals. Criminal groups in Europe and Asia have also shared victim information with each other.</w:t>
      </w:r>
    </w:p>
    <w:p w:rsidR="007F65D4" w:rsidRPr="009A2D46" w:rsidRDefault="00542B0A" w:rsidP="007F65D4">
      <w:r w:rsidRPr="009A2D46">
        <w:t xml:space="preserve">According to the report, authorities observed that </w:t>
      </w:r>
      <w:r>
        <w:t>“</w:t>
      </w:r>
      <w:r w:rsidRPr="009A2D46">
        <w:t>some ransomware threat actors offered their victims the service</w:t>
      </w:r>
      <w:r w:rsidRPr="009A2D46">
        <w:t>s of a 24/7 help center to expedite ransom payment and restoration of encrypted systems or data.”</w:t>
      </w:r>
    </w:p>
    <w:p w:rsidR="007F65D4" w:rsidRPr="009A2D46" w:rsidRDefault="00542B0A" w:rsidP="007F65D4">
      <w:r w:rsidRPr="009A2D46">
        <w:t xml:space="preserve">In the </w:t>
      </w:r>
      <w:r>
        <w:t>United States,</w:t>
      </w:r>
      <w:r w:rsidRPr="009A2D46">
        <w:t xml:space="preserve"> ransomware actors shifted their focus from “big game” organizations to midsize victims </w:t>
      </w:r>
      <w:r>
        <w:t xml:space="preserve">halfway through </w:t>
      </w:r>
      <w:r w:rsidRPr="009A2D46">
        <w:t>2021 after they suffered disrupti</w:t>
      </w:r>
      <w:r w:rsidRPr="009A2D46">
        <w:t>ons from cyber authorities. The switch was to reduce scrutiny, officials said</w:t>
      </w:r>
      <w:r>
        <w:t>.</w:t>
      </w:r>
    </w:p>
    <w:p w:rsidR="00F23327" w:rsidRPr="00F23327" w:rsidRDefault="00542B0A" w:rsidP="007F65D4">
      <w:r w:rsidRPr="009A2D46">
        <w:t>Most commonly, cybercriminals continued to initiate ransomware attacks via phishing emails, stolen remote desktop protocols (RDP) credentials and exploited software vulnerabilit</w:t>
      </w:r>
      <w:r w:rsidRPr="009A2D46">
        <w:t>ies</w:t>
      </w:r>
      <w:r w:rsidR="009C5679" w:rsidRPr="00F23327">
        <w:t>.</w:t>
      </w:r>
    </w:p>
    <w:p w:rsidR="007F65D4" w:rsidRDefault="007F65D4" w:rsidP="00F23327">
      <w:pPr>
        <w:sectPr w:rsidR="007F65D4" w:rsidSect="002A074C">
          <w:headerReference w:type="default" r:id="rId11"/>
          <w:footerReference w:type="default" r:id="rId12"/>
          <w:pgSz w:w="12240" w:h="15840"/>
          <w:pgMar w:top="864" w:right="792" w:bottom="2160" w:left="792" w:header="720" w:footer="720" w:gutter="0"/>
          <w:cols w:space="720"/>
          <w:docGrid w:linePitch="360"/>
        </w:sectPr>
      </w:pPr>
    </w:p>
    <w:p w:rsidR="00140F5A" w:rsidRPr="00F23327" w:rsidRDefault="00542B0A" w:rsidP="00140F5A">
      <w:r>
        <w:lastRenderedPageBreak/>
        <w:t>The firm said that increased reliance on digital assets would introduce more vulnerabilities in 2022</w:t>
      </w:r>
      <w:r w:rsidRPr="00F23327">
        <w:t xml:space="preserve">. Non-fungible </w:t>
      </w:r>
      <w:r w:rsidRPr="00F23327">
        <w:t>tokens (NFTs) experienced significant hype in 2021</w:t>
      </w:r>
      <w:r>
        <w:t>,</w:t>
      </w:r>
      <w:r w:rsidRPr="00F23327">
        <w:t xml:space="preserve"> and “where value</w:t>
      </w:r>
      <w:r w:rsidRPr="00B6164A">
        <w:t>—</w:t>
      </w:r>
      <w:r w:rsidRPr="00F23327">
        <w:t>or perceived value</w:t>
      </w:r>
      <w:r w:rsidRPr="00B6164A">
        <w:t>—</w:t>
      </w:r>
      <w:r w:rsidRPr="00F23327">
        <w:t>goes, thieves and bad actors will follow.”</w:t>
      </w:r>
    </w:p>
    <w:p w:rsidR="007F65D4" w:rsidRPr="009A2D46" w:rsidRDefault="00542B0A" w:rsidP="00140F5A">
      <w:r w:rsidRPr="009A2D46">
        <w:t xml:space="preserve">These infection vectors likely remain popular because of the increased use of remote work and schooling starting in 2020 and </w:t>
      </w:r>
      <w:r w:rsidRPr="009A2D46">
        <w:t>continuing through 2021,” the report stated. “This increase expanded the remote attack surface and left network defenders struggling to keep pace with routine software patching.”</w:t>
      </w:r>
    </w:p>
    <w:p w:rsidR="007F65D4" w:rsidRPr="009A2D46" w:rsidRDefault="00542B0A" w:rsidP="007F65D4">
      <w:r>
        <w:t>Cybercriminals</w:t>
      </w:r>
      <w:r w:rsidRPr="009A2D46">
        <w:t xml:space="preserve"> increased their impact through a few methods—such as by target</w:t>
      </w:r>
      <w:r w:rsidRPr="009A2D46">
        <w:t>ing the cloud, managed service providers (MSPs) and software supply chain entities—and several groups have begun attacking industrial processes. More attacks against U.S. entities occurred on holidays and weekends.</w:t>
      </w:r>
    </w:p>
    <w:p w:rsidR="007F65D4" w:rsidRPr="009A2D46" w:rsidRDefault="00542B0A" w:rsidP="007F65D4">
      <w:r w:rsidRPr="009A2D46">
        <w:t xml:space="preserve">Criminals </w:t>
      </w:r>
      <w:r>
        <w:t xml:space="preserve">also </w:t>
      </w:r>
      <w:r w:rsidRPr="009A2D46">
        <w:t>expanded methods to extort</w:t>
      </w:r>
      <w:r w:rsidRPr="009A2D46">
        <w:t xml:space="preserve"> money from victims. They would threaten to release stolen information publicly, disrupt victims’ internet access, and/or inform the victims’ partners or shareholders of the incident.</w:t>
      </w:r>
    </w:p>
    <w:p w:rsidR="007F65D4" w:rsidRPr="009A2D46" w:rsidRDefault="00542B0A" w:rsidP="007F65D4">
      <w:r w:rsidRPr="009A2D46">
        <w:t>Authorities had several recommendations to reduce the likelihood and imp</w:t>
      </w:r>
      <w:r w:rsidRPr="009A2D46">
        <w:t>act of ransomware attacks. Organizations should keep all operating systems and software up to date; secure and monitor potentially risky services (e.g., RDP); implement user training programs and phishing exercises; require multifactor authentication (MFA)</w:t>
      </w:r>
      <w:r w:rsidRPr="009A2D46">
        <w:t>; require strong and unique passwords; protect cloud storage by backing up to multiple locations; and encrypt cloud data.</w:t>
      </w:r>
    </w:p>
    <w:p w:rsidR="008B3F2D" w:rsidRPr="001C6786" w:rsidRDefault="00542B0A" w:rsidP="007F65D4">
      <w:r w:rsidRPr="009A2D46">
        <w:t>For more cybersecurity guidance, contact Wheeler &amp; Taylor Insurance today</w:t>
      </w:r>
      <w:r>
        <w:t>.</w:t>
      </w:r>
    </w:p>
    <w:sectPr w:rsidR="008B3F2D" w:rsidRPr="001C6786" w:rsidSect="007F65D4">
      <w:headerReference w:type="default" r:id="rId13"/>
      <w:type w:val="continuous"/>
      <w:pgSz w:w="12240" w:h="15840"/>
      <w:pgMar w:top="864" w:right="792" w:bottom="216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0A" w:rsidRDefault="00542B0A">
      <w:pPr>
        <w:spacing w:after="0"/>
      </w:pPr>
      <w:r>
        <w:separator/>
      </w:r>
    </w:p>
  </w:endnote>
  <w:endnote w:type="continuationSeparator" w:id="0">
    <w:p w:rsidR="00542B0A" w:rsidRDefault="00542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86" w:rsidRDefault="00542B0A" w:rsidP="007F65D4">
    <w:pPr>
      <w:tabs>
        <w:tab w:val="left" w:pos="8700"/>
      </w:tabs>
      <w:rPr>
        <w:color w:val="808080"/>
        <w:sz w:val="12"/>
        <w:szCs w:val="16"/>
      </w:rPr>
    </w:pPr>
    <w:r>
      <w:rPr>
        <w:color w:val="808080"/>
        <w:sz w:val="12"/>
        <w:szCs w:val="16"/>
      </w:rPr>
      <w:tab/>
    </w:r>
  </w:p>
  <w:p w:rsidR="001C6786" w:rsidRDefault="00542B0A">
    <w:pPr>
      <w:pStyle w:val="Footer"/>
    </w:pPr>
    <w:r w:rsidRPr="00B15D19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240030</wp:posOffset>
              </wp:positionV>
              <wp:extent cx="4488872" cy="1621917"/>
              <wp:effectExtent l="0" t="0" r="0" b="571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8872" cy="16219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5D4" w:rsidRPr="000B64BC" w:rsidRDefault="00542B0A" w:rsidP="007F65D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B64B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© 202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0B64B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Zywave,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53.45pt;height:110.6pt;margin-top:18.9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<v:textbox style="mso-fit-shape-to-text:t">
                <w:txbxContent>
                  <w:p w:rsidR="007F65D4" w:rsidRPr="000B64BC" w:rsidP="007F65D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0B64BC">
                      <w:rPr>
                        <w:color w:val="FFFFFF" w:themeColor="background1"/>
                        <w:sz w:val="16"/>
                        <w:szCs w:val="16"/>
                      </w:rPr>
                      <w:t>© 202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0B64BC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0B64BC">
                      <w:rPr>
                        <w:color w:val="FFFFFF" w:themeColor="background1"/>
                        <w:sz w:val="16"/>
                        <w:szCs w:val="16"/>
                      </w:rPr>
                      <w:t>Zywave</w:t>
                    </w:r>
                    <w:r w:rsidRPr="000B64BC">
                      <w:rPr>
                        <w:color w:val="FFFFFF" w:themeColor="background1"/>
                        <w:sz w:val="16"/>
                        <w:szCs w:val="16"/>
                      </w:rPr>
                      <w:t>, Inc. All Rights Reserved.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0A" w:rsidRDefault="00542B0A">
      <w:pPr>
        <w:spacing w:after="0"/>
      </w:pPr>
      <w:r>
        <w:separator/>
      </w:r>
    </w:p>
  </w:footnote>
  <w:footnote w:type="continuationSeparator" w:id="0">
    <w:p w:rsidR="00542B0A" w:rsidRDefault="00542B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D4" w:rsidRDefault="00542B0A">
    <w:pPr>
      <w:pStyle w:val="Header"/>
    </w:pPr>
    <w:r w:rsidRPr="00B15D19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399" cy="10058399"/>
          <wp:effectExtent l="0" t="0" r="635" b="63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5D4" w:rsidRDefault="00542B0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1765" cy="10050145"/>
          <wp:effectExtent l="0" t="0" r="635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7F92"/>
    <w:multiLevelType w:val="hybridMultilevel"/>
    <w:tmpl w:val="6DC6D868"/>
    <w:lvl w:ilvl="0" w:tplc="FDE4D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8D006" w:tentative="1">
      <w:start w:val="1"/>
      <w:numFmt w:val="lowerLetter"/>
      <w:lvlText w:val="%2."/>
      <w:lvlJc w:val="left"/>
      <w:pPr>
        <w:ind w:left="1440" w:hanging="360"/>
      </w:pPr>
    </w:lvl>
    <w:lvl w:ilvl="2" w:tplc="0316CFA8" w:tentative="1">
      <w:start w:val="1"/>
      <w:numFmt w:val="lowerRoman"/>
      <w:lvlText w:val="%3."/>
      <w:lvlJc w:val="right"/>
      <w:pPr>
        <w:ind w:left="2160" w:hanging="180"/>
      </w:pPr>
    </w:lvl>
    <w:lvl w:ilvl="3" w:tplc="10FC0C9E" w:tentative="1">
      <w:start w:val="1"/>
      <w:numFmt w:val="decimal"/>
      <w:lvlText w:val="%4."/>
      <w:lvlJc w:val="left"/>
      <w:pPr>
        <w:ind w:left="2880" w:hanging="360"/>
      </w:pPr>
    </w:lvl>
    <w:lvl w:ilvl="4" w:tplc="5C4071AC" w:tentative="1">
      <w:start w:val="1"/>
      <w:numFmt w:val="lowerLetter"/>
      <w:lvlText w:val="%5."/>
      <w:lvlJc w:val="left"/>
      <w:pPr>
        <w:ind w:left="3600" w:hanging="360"/>
      </w:pPr>
    </w:lvl>
    <w:lvl w:ilvl="5" w:tplc="6DEEE55C" w:tentative="1">
      <w:start w:val="1"/>
      <w:numFmt w:val="lowerRoman"/>
      <w:lvlText w:val="%6."/>
      <w:lvlJc w:val="right"/>
      <w:pPr>
        <w:ind w:left="4320" w:hanging="180"/>
      </w:pPr>
    </w:lvl>
    <w:lvl w:ilvl="6" w:tplc="C0AAE998" w:tentative="1">
      <w:start w:val="1"/>
      <w:numFmt w:val="decimal"/>
      <w:lvlText w:val="%7."/>
      <w:lvlJc w:val="left"/>
      <w:pPr>
        <w:ind w:left="5040" w:hanging="360"/>
      </w:pPr>
    </w:lvl>
    <w:lvl w:ilvl="7" w:tplc="0CAC92FE" w:tentative="1">
      <w:start w:val="1"/>
      <w:numFmt w:val="lowerLetter"/>
      <w:lvlText w:val="%8."/>
      <w:lvlJc w:val="left"/>
      <w:pPr>
        <w:ind w:left="5760" w:hanging="360"/>
      </w:pPr>
    </w:lvl>
    <w:lvl w:ilvl="8" w:tplc="99469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E137D"/>
    <w:multiLevelType w:val="hybridMultilevel"/>
    <w:tmpl w:val="961AE3C2"/>
    <w:lvl w:ilvl="0" w:tplc="34643A5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2ADDA"/>
      </w:rPr>
    </w:lvl>
    <w:lvl w:ilvl="1" w:tplc="5A861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87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0C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6D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349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AF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E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AA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DB8"/>
    <w:multiLevelType w:val="hybridMultilevel"/>
    <w:tmpl w:val="A4C6CEDE"/>
    <w:lvl w:ilvl="0" w:tplc="3326868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CA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86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C3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24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0E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E62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6F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A0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0248"/>
    <w:multiLevelType w:val="hybridMultilevel"/>
    <w:tmpl w:val="25AA3AB4"/>
    <w:lvl w:ilvl="0" w:tplc="531E2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02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AF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47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8A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54E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E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87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A8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42D2"/>
    <w:multiLevelType w:val="hybridMultilevel"/>
    <w:tmpl w:val="8C96FA12"/>
    <w:lvl w:ilvl="0" w:tplc="28E2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4E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10E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83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85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07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B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E2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AFF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Y3Mje0NDY0M7RU0lEKTi0uzszPAykwtKwFAB1thvgtAAAA"/>
  </w:docVars>
  <w:rsids>
    <w:rsidRoot w:val="00590B97"/>
    <w:rsid w:val="00032D66"/>
    <w:rsid w:val="00034775"/>
    <w:rsid w:val="000448C8"/>
    <w:rsid w:val="00091A23"/>
    <w:rsid w:val="000A4E73"/>
    <w:rsid w:val="000A6AD6"/>
    <w:rsid w:val="000B64BC"/>
    <w:rsid w:val="000C0295"/>
    <w:rsid w:val="000C0EAB"/>
    <w:rsid w:val="000D5A36"/>
    <w:rsid w:val="000D5BD2"/>
    <w:rsid w:val="000E4A1C"/>
    <w:rsid w:val="00104FA2"/>
    <w:rsid w:val="001360A7"/>
    <w:rsid w:val="00140E74"/>
    <w:rsid w:val="00140F5A"/>
    <w:rsid w:val="00153011"/>
    <w:rsid w:val="00174DA9"/>
    <w:rsid w:val="00187A1A"/>
    <w:rsid w:val="001919DA"/>
    <w:rsid w:val="00193553"/>
    <w:rsid w:val="00197629"/>
    <w:rsid w:val="001C2428"/>
    <w:rsid w:val="001C6786"/>
    <w:rsid w:val="001D2161"/>
    <w:rsid w:val="001D2CAC"/>
    <w:rsid w:val="001D4034"/>
    <w:rsid w:val="001E7A0F"/>
    <w:rsid w:val="0020782B"/>
    <w:rsid w:val="00222DC6"/>
    <w:rsid w:val="002263C6"/>
    <w:rsid w:val="0023094B"/>
    <w:rsid w:val="00235020"/>
    <w:rsid w:val="0024555C"/>
    <w:rsid w:val="00261431"/>
    <w:rsid w:val="0026688B"/>
    <w:rsid w:val="00270803"/>
    <w:rsid w:val="002A074C"/>
    <w:rsid w:val="002B7091"/>
    <w:rsid w:val="002C174B"/>
    <w:rsid w:val="002C4070"/>
    <w:rsid w:val="002E06B1"/>
    <w:rsid w:val="002F4D69"/>
    <w:rsid w:val="00313736"/>
    <w:rsid w:val="003369C6"/>
    <w:rsid w:val="00343647"/>
    <w:rsid w:val="00366DE6"/>
    <w:rsid w:val="0037419F"/>
    <w:rsid w:val="00374D85"/>
    <w:rsid w:val="00381424"/>
    <w:rsid w:val="00382759"/>
    <w:rsid w:val="00392EC5"/>
    <w:rsid w:val="003A1BB3"/>
    <w:rsid w:val="003D3F58"/>
    <w:rsid w:val="00440EC8"/>
    <w:rsid w:val="004455C1"/>
    <w:rsid w:val="00450173"/>
    <w:rsid w:val="004514B5"/>
    <w:rsid w:val="0045575F"/>
    <w:rsid w:val="00457994"/>
    <w:rsid w:val="00467764"/>
    <w:rsid w:val="0047730C"/>
    <w:rsid w:val="00482B49"/>
    <w:rsid w:val="004C3626"/>
    <w:rsid w:val="004E34D9"/>
    <w:rsid w:val="004E4804"/>
    <w:rsid w:val="005076DC"/>
    <w:rsid w:val="005241E2"/>
    <w:rsid w:val="00524743"/>
    <w:rsid w:val="00542B0A"/>
    <w:rsid w:val="00545EE5"/>
    <w:rsid w:val="00590B97"/>
    <w:rsid w:val="00596E75"/>
    <w:rsid w:val="005A46C0"/>
    <w:rsid w:val="005B03A2"/>
    <w:rsid w:val="005B42D9"/>
    <w:rsid w:val="005C7AD7"/>
    <w:rsid w:val="005D6C8A"/>
    <w:rsid w:val="005F22BE"/>
    <w:rsid w:val="005F6348"/>
    <w:rsid w:val="0063536B"/>
    <w:rsid w:val="006461E3"/>
    <w:rsid w:val="0065722F"/>
    <w:rsid w:val="00666B1A"/>
    <w:rsid w:val="006672DF"/>
    <w:rsid w:val="00686D1C"/>
    <w:rsid w:val="00690741"/>
    <w:rsid w:val="00695446"/>
    <w:rsid w:val="006A5505"/>
    <w:rsid w:val="006E0E09"/>
    <w:rsid w:val="006E2745"/>
    <w:rsid w:val="006F148F"/>
    <w:rsid w:val="00703D9B"/>
    <w:rsid w:val="00707933"/>
    <w:rsid w:val="007162A8"/>
    <w:rsid w:val="007239DD"/>
    <w:rsid w:val="007272E4"/>
    <w:rsid w:val="00732CB0"/>
    <w:rsid w:val="00744D03"/>
    <w:rsid w:val="00776074"/>
    <w:rsid w:val="0078540D"/>
    <w:rsid w:val="007E1AA2"/>
    <w:rsid w:val="007F6379"/>
    <w:rsid w:val="007F65D4"/>
    <w:rsid w:val="00821B69"/>
    <w:rsid w:val="00823ABD"/>
    <w:rsid w:val="00831736"/>
    <w:rsid w:val="00837A2D"/>
    <w:rsid w:val="0085369B"/>
    <w:rsid w:val="0087070E"/>
    <w:rsid w:val="008729FE"/>
    <w:rsid w:val="0088385C"/>
    <w:rsid w:val="008B3F2D"/>
    <w:rsid w:val="008D37F6"/>
    <w:rsid w:val="00904C8E"/>
    <w:rsid w:val="009335CC"/>
    <w:rsid w:val="0094452D"/>
    <w:rsid w:val="00946A52"/>
    <w:rsid w:val="00953100"/>
    <w:rsid w:val="00972CCE"/>
    <w:rsid w:val="00984CA1"/>
    <w:rsid w:val="009931D8"/>
    <w:rsid w:val="009A2D46"/>
    <w:rsid w:val="009B1E79"/>
    <w:rsid w:val="009C474E"/>
    <w:rsid w:val="009C5679"/>
    <w:rsid w:val="009C58D3"/>
    <w:rsid w:val="009E58BC"/>
    <w:rsid w:val="00A209F1"/>
    <w:rsid w:val="00A64F2D"/>
    <w:rsid w:val="00A679C4"/>
    <w:rsid w:val="00A67CBD"/>
    <w:rsid w:val="00A74A11"/>
    <w:rsid w:val="00AB147A"/>
    <w:rsid w:val="00AB2D5B"/>
    <w:rsid w:val="00AC7BAE"/>
    <w:rsid w:val="00AE62A1"/>
    <w:rsid w:val="00AF3DCF"/>
    <w:rsid w:val="00B20F09"/>
    <w:rsid w:val="00B2645D"/>
    <w:rsid w:val="00B33777"/>
    <w:rsid w:val="00B40844"/>
    <w:rsid w:val="00B525B6"/>
    <w:rsid w:val="00B60258"/>
    <w:rsid w:val="00B6164A"/>
    <w:rsid w:val="00B6644F"/>
    <w:rsid w:val="00B75403"/>
    <w:rsid w:val="00B7753E"/>
    <w:rsid w:val="00B82159"/>
    <w:rsid w:val="00BA2042"/>
    <w:rsid w:val="00BA6315"/>
    <w:rsid w:val="00BB1798"/>
    <w:rsid w:val="00BB305C"/>
    <w:rsid w:val="00BB3638"/>
    <w:rsid w:val="00BC24C7"/>
    <w:rsid w:val="00BD24DC"/>
    <w:rsid w:val="00BE218E"/>
    <w:rsid w:val="00C14D95"/>
    <w:rsid w:val="00C37C64"/>
    <w:rsid w:val="00C867F4"/>
    <w:rsid w:val="00C93400"/>
    <w:rsid w:val="00CA2052"/>
    <w:rsid w:val="00CA35A2"/>
    <w:rsid w:val="00CB6BE9"/>
    <w:rsid w:val="00CC5EBA"/>
    <w:rsid w:val="00CD7220"/>
    <w:rsid w:val="00D12AB7"/>
    <w:rsid w:val="00D23334"/>
    <w:rsid w:val="00D35CDD"/>
    <w:rsid w:val="00D4236A"/>
    <w:rsid w:val="00D55E4C"/>
    <w:rsid w:val="00D5740E"/>
    <w:rsid w:val="00D57642"/>
    <w:rsid w:val="00D72FEE"/>
    <w:rsid w:val="00D81C25"/>
    <w:rsid w:val="00D96730"/>
    <w:rsid w:val="00DA6E57"/>
    <w:rsid w:val="00DB26FA"/>
    <w:rsid w:val="00DC2379"/>
    <w:rsid w:val="00DC55BA"/>
    <w:rsid w:val="00DD009F"/>
    <w:rsid w:val="00DD4247"/>
    <w:rsid w:val="00DE2E05"/>
    <w:rsid w:val="00DE541F"/>
    <w:rsid w:val="00DF05C2"/>
    <w:rsid w:val="00E10D2F"/>
    <w:rsid w:val="00E1134B"/>
    <w:rsid w:val="00E16633"/>
    <w:rsid w:val="00E231CC"/>
    <w:rsid w:val="00E30DD9"/>
    <w:rsid w:val="00E37754"/>
    <w:rsid w:val="00E54BE8"/>
    <w:rsid w:val="00E66777"/>
    <w:rsid w:val="00E7652F"/>
    <w:rsid w:val="00E81FCE"/>
    <w:rsid w:val="00E841A9"/>
    <w:rsid w:val="00E90AC0"/>
    <w:rsid w:val="00E94689"/>
    <w:rsid w:val="00EB600F"/>
    <w:rsid w:val="00EB6D9E"/>
    <w:rsid w:val="00ED10DA"/>
    <w:rsid w:val="00F22A17"/>
    <w:rsid w:val="00F23327"/>
    <w:rsid w:val="00F27F6F"/>
    <w:rsid w:val="00F35515"/>
    <w:rsid w:val="00F4718A"/>
    <w:rsid w:val="00F668A6"/>
    <w:rsid w:val="00F73382"/>
    <w:rsid w:val="00F76C82"/>
    <w:rsid w:val="00F80CB3"/>
    <w:rsid w:val="00F8365F"/>
    <w:rsid w:val="00FD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CDEF0-D8D0-477C-A087-0149860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EC5"/>
    <w:pPr>
      <w:spacing w:after="240" w:line="240" w:lineRule="auto"/>
    </w:pPr>
    <w:rPr>
      <w:rFonts w:ascii="Tahoma" w:hAnsi="Tahoma"/>
      <w:color w:val="404040" w:themeColor="text1" w:themeTint="BF"/>
      <w:sz w:val="21"/>
    </w:rPr>
  </w:style>
  <w:style w:type="paragraph" w:styleId="Heading1">
    <w:name w:val="heading 1"/>
    <w:basedOn w:val="Normal"/>
    <w:next w:val="Normal"/>
    <w:link w:val="Heading1Char"/>
    <w:uiPriority w:val="9"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C67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E10D2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0D2F"/>
  </w:style>
  <w:style w:type="paragraph" w:styleId="Footer">
    <w:name w:val="footer"/>
    <w:basedOn w:val="Normal"/>
    <w:link w:val="FooterChar"/>
    <w:uiPriority w:val="99"/>
    <w:unhideWhenUsed/>
    <w:rsid w:val="00E10D2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0D2F"/>
  </w:style>
  <w:style w:type="paragraph" w:customStyle="1" w:styleId="Heading10">
    <w:name w:val="Heading1"/>
    <w:basedOn w:val="Normal"/>
    <w:link w:val="Heading1Char0"/>
    <w:qFormat/>
    <w:rsid w:val="00482B49"/>
    <w:pPr>
      <w:spacing w:after="120" w:line="228" w:lineRule="auto"/>
    </w:pPr>
    <w:rPr>
      <w:rFonts w:cs="Tahoma"/>
      <w:b/>
      <w:color w:val="6A91CB"/>
      <w:sz w:val="36"/>
      <w:szCs w:val="48"/>
    </w:rPr>
  </w:style>
  <w:style w:type="character" w:customStyle="1" w:styleId="Heading1Char0">
    <w:name w:val="Heading1 Char"/>
    <w:basedOn w:val="DefaultParagraphFont"/>
    <w:link w:val="Heading10"/>
    <w:rsid w:val="00482B49"/>
    <w:rPr>
      <w:rFonts w:ascii="Tahoma" w:hAnsi="Tahoma" w:cs="Tahoma"/>
      <w:b/>
      <w:color w:val="6A91CB"/>
      <w:sz w:val="36"/>
      <w:szCs w:val="48"/>
    </w:rPr>
  </w:style>
  <w:style w:type="paragraph" w:customStyle="1" w:styleId="Heading20">
    <w:name w:val="Heading2"/>
    <w:basedOn w:val="Normal"/>
    <w:link w:val="Heading2Char0"/>
    <w:qFormat/>
    <w:rsid w:val="00193553"/>
    <w:pPr>
      <w:spacing w:after="80"/>
    </w:pPr>
    <w:rPr>
      <w:b/>
      <w:color w:val="4B6271"/>
      <w:sz w:val="24"/>
      <w:szCs w:val="24"/>
    </w:rPr>
  </w:style>
  <w:style w:type="character" w:customStyle="1" w:styleId="Heading2Char0">
    <w:name w:val="Heading2 Char"/>
    <w:basedOn w:val="DefaultParagraphFont"/>
    <w:link w:val="Heading20"/>
    <w:rsid w:val="00193553"/>
    <w:rPr>
      <w:rFonts w:ascii="Tahoma" w:hAnsi="Tahoma"/>
      <w:b/>
      <w:color w:val="4B627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35020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823ABD"/>
    <w:pPr>
      <w:numPr>
        <w:numId w:val="3"/>
      </w:numPr>
      <w:ind w:left="576" w:hanging="288"/>
    </w:pPr>
    <w:rPr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5020"/>
    <w:rPr>
      <w:rFonts w:ascii="Tahoma" w:hAnsi="Tahoma"/>
      <w:color w:val="404040" w:themeColor="text1" w:themeTint="BF"/>
      <w:sz w:val="21"/>
    </w:rPr>
  </w:style>
  <w:style w:type="character" w:customStyle="1" w:styleId="BulletListChar">
    <w:name w:val="BulletList Char"/>
    <w:basedOn w:val="ListParagraphChar"/>
    <w:link w:val="BulletList"/>
    <w:rsid w:val="00823ABD"/>
    <w:rPr>
      <w:rFonts w:ascii="Tahoma" w:hAnsi="Tahoma"/>
      <w:color w:val="404040" w:themeColor="text1" w:themeTint="BF"/>
      <w:sz w:val="21"/>
      <w:lang w:val="es-ES"/>
    </w:rPr>
  </w:style>
  <w:style w:type="character" w:styleId="Hyperlink">
    <w:name w:val="Hyperlink"/>
    <w:uiPriority w:val="99"/>
    <w:unhideWhenUsed/>
    <w:rsid w:val="00B525B6"/>
    <w:rPr>
      <w:color w:val="0000FF"/>
      <w:u w:val="single"/>
    </w:rPr>
  </w:style>
  <w:style w:type="paragraph" w:customStyle="1" w:styleId="bodytext">
    <w:name w:val="_body text"/>
    <w:basedOn w:val="Normal"/>
    <w:link w:val="bodytextChar"/>
    <w:qFormat/>
    <w:rsid w:val="00B525B6"/>
    <w:pPr>
      <w:spacing w:after="200" w:line="276" w:lineRule="auto"/>
    </w:pPr>
    <w:rPr>
      <w:rFonts w:ascii="Calibri Light" w:eastAsia="Calibri" w:hAnsi="Calibri Light" w:cs="Calibri Light"/>
      <w:color w:val="auto"/>
      <w:sz w:val="20"/>
      <w:lang w:eastAsia="en-GB"/>
    </w:rPr>
  </w:style>
  <w:style w:type="character" w:customStyle="1" w:styleId="bodytextChar">
    <w:name w:val="_body text Char"/>
    <w:link w:val="bodytext"/>
    <w:rsid w:val="00B525B6"/>
    <w:rPr>
      <w:rFonts w:ascii="Calibri Light" w:eastAsia="Calibri" w:hAnsi="Calibri Light" w:cs="Calibri Light"/>
      <w:sz w:val="20"/>
      <w:lang w:eastAsia="en-GB"/>
    </w:rPr>
  </w:style>
  <w:style w:type="character" w:customStyle="1" w:styleId="acopre">
    <w:name w:val="acopre"/>
    <w:basedOn w:val="DefaultParagraphFont"/>
    <w:rsid w:val="00B525B6"/>
  </w:style>
  <w:style w:type="paragraph" w:customStyle="1" w:styleId="bullet">
    <w:name w:val="_bullet"/>
    <w:basedOn w:val="ListParagraph"/>
    <w:link w:val="bulletChar"/>
    <w:qFormat/>
    <w:rsid w:val="00DB26FA"/>
    <w:pPr>
      <w:numPr>
        <w:numId w:val="4"/>
      </w:numPr>
      <w:spacing w:after="120"/>
      <w:contextualSpacing w:val="0"/>
    </w:pPr>
    <w:rPr>
      <w:rFonts w:ascii="Calibri Light" w:eastAsia="Calibri" w:hAnsi="Calibri Light" w:cs="Calibri Light"/>
      <w:color w:val="auto"/>
      <w:sz w:val="20"/>
      <w:lang w:eastAsia="en-GB"/>
    </w:rPr>
  </w:style>
  <w:style w:type="character" w:customStyle="1" w:styleId="bulletChar">
    <w:name w:val="_bullet Char"/>
    <w:link w:val="bullet"/>
    <w:rsid w:val="00DB26FA"/>
    <w:rPr>
      <w:rFonts w:ascii="Calibri Light" w:eastAsia="Calibri" w:hAnsi="Calibri Light" w:cs="Calibri Light"/>
      <w:sz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677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7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67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F2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9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F1"/>
    <w:rPr>
      <w:rFonts w:ascii="Segoe UI" w:hAnsi="Segoe UI" w:cs="Segoe UI"/>
      <w:color w:val="404040" w:themeColor="text1" w:themeTint="BF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64"/>
    <w:rPr>
      <w:rFonts w:ascii="Tahoma" w:hAnsi="Tahoma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64"/>
    <w:rPr>
      <w:rFonts w:ascii="Tahoma" w:hAnsi="Tahoma"/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sa.gov/uscert/sites/default/files/publications/AA22-040A_2021_Trends_Show_Increased_Globalized_Threat_of_Ransomware_50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onald\Work%20Folders\Desktop\Cyber%20template%20updates\Cyber%20Update%20Template%20-%201%20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53DBD-BEB6-43FA-9DF5-4B892576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Cyber Update Template - 1 Column.dotx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Jane</dc:creator>
  <cp:lastModifiedBy>Michael V. Diaz</cp:lastModifiedBy>
  <cp:revision>2</cp:revision>
  <dcterms:created xsi:type="dcterms:W3CDTF">2022-02-23T20:45:00Z</dcterms:created>
  <dcterms:modified xsi:type="dcterms:W3CDTF">2022-02-23T20:45:00Z</dcterms:modified>
</cp:coreProperties>
</file>